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5B820">
      <w:pPr>
        <w:pStyle w:val="2"/>
        <w:keepNext/>
        <w:spacing w:after="312" w:afterLines="100"/>
        <w:jc w:val="both"/>
        <w:rPr>
          <w:rFonts w:hint="default"/>
          <w:sz w:val="32"/>
          <w:lang w:val="en-US" w:eastAsia="zh-CN"/>
        </w:rPr>
      </w:pPr>
      <w:r>
        <w:rPr>
          <w:rFonts w:hint="eastAsia"/>
          <w:sz w:val="32"/>
          <w:lang w:val="en-US" w:eastAsia="zh-CN"/>
        </w:rPr>
        <w:t>附件：</w:t>
      </w:r>
    </w:p>
    <w:p w14:paraId="39C7EF11">
      <w:pPr>
        <w:keepNext w:val="0"/>
        <w:keepLines w:val="0"/>
        <w:pageBreakBefore w:val="0"/>
        <w:widowControl w:val="0"/>
        <w:shd w:val="clear"/>
        <w:kinsoku/>
        <w:wordWrap/>
        <w:overflowPunct/>
        <w:topLinePunct w:val="0"/>
        <w:autoSpaceDE/>
        <w:autoSpaceDN/>
        <w:bidi w:val="0"/>
        <w:adjustRightInd w:val="0"/>
        <w:snapToGrid w:val="0"/>
        <w:spacing w:line="720" w:lineRule="exact"/>
        <w:ind w:firstLine="0" w:firstLineChars="0"/>
        <w:jc w:val="center"/>
        <w:textAlignment w:val="auto"/>
        <w:rPr>
          <w:rFonts w:hint="eastAsia" w:ascii="方正小标宋简体" w:hAnsi="方正小标宋简体" w:eastAsia="方正小标宋简体" w:cs="方正小标宋简体"/>
          <w:b w:val="0"/>
          <w:bCs/>
          <w:color w:val="auto"/>
          <w:sz w:val="36"/>
          <w:szCs w:val="36"/>
          <w:highlight w:val="none"/>
          <w:shd w:val="clear"/>
        </w:rPr>
      </w:pPr>
      <w:r>
        <w:rPr>
          <w:rFonts w:hint="eastAsia" w:ascii="方正小标宋简体" w:hAnsi="方正小标宋简体" w:eastAsia="方正小标宋简体" w:cs="方正小标宋简体"/>
          <w:b w:val="0"/>
          <w:bCs/>
          <w:color w:val="auto"/>
          <w:sz w:val="36"/>
          <w:szCs w:val="36"/>
          <w:highlight w:val="none"/>
          <w:shd w:val="clear"/>
          <w:lang w:val="en-US" w:eastAsia="zh-CN"/>
        </w:rPr>
        <w:t>线上“优质课”</w:t>
      </w:r>
      <w:r>
        <w:rPr>
          <w:rFonts w:hint="eastAsia" w:ascii="方正小标宋简体" w:hAnsi="方正小标宋简体" w:eastAsia="方正小标宋简体" w:cs="方正小标宋简体"/>
          <w:b w:val="0"/>
          <w:bCs/>
          <w:color w:val="auto"/>
          <w:sz w:val="36"/>
          <w:szCs w:val="36"/>
          <w:highlight w:val="none"/>
          <w:shd w:val="clear"/>
        </w:rPr>
        <w:t>评价指标体系</w:t>
      </w:r>
    </w:p>
    <w:p w14:paraId="3E55C113">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说明：数据统计范围为2025-2026-1学期的数据</w:t>
      </w:r>
      <w:bookmarkStart w:id="0" w:name="_GoBack"/>
      <w:bookmarkEnd w:id="0"/>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6416"/>
        <w:gridCol w:w="792"/>
      </w:tblGrid>
      <w:tr w14:paraId="01AB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68" w:type="pct"/>
            <w:tcBorders>
              <w:top w:val="single" w:color="auto" w:sz="4" w:space="0"/>
              <w:bottom w:val="single" w:color="auto" w:sz="4" w:space="0"/>
              <w:right w:val="single" w:color="auto" w:sz="4" w:space="0"/>
            </w:tcBorders>
            <w:noWrap w:val="0"/>
            <w:vAlign w:val="center"/>
          </w:tcPr>
          <w:p w14:paraId="1AACCAAC">
            <w:pPr>
              <w:pStyle w:val="3"/>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评价指标</w:t>
            </w:r>
          </w:p>
        </w:tc>
        <w:tc>
          <w:tcPr>
            <w:tcW w:w="3767" w:type="pct"/>
            <w:tcBorders>
              <w:top w:val="single" w:color="auto" w:sz="4" w:space="0"/>
              <w:left w:val="single" w:color="auto" w:sz="4" w:space="0"/>
              <w:bottom w:val="single" w:color="auto" w:sz="4" w:space="0"/>
              <w:right w:val="single" w:color="auto" w:sz="4" w:space="0"/>
            </w:tcBorders>
            <w:noWrap w:val="0"/>
            <w:vAlign w:val="center"/>
          </w:tcPr>
          <w:p w14:paraId="07D595DE">
            <w:pPr>
              <w:pStyle w:val="3"/>
              <w:keepNext w:val="0"/>
              <w:keepLines w:val="0"/>
              <w:pageBreakBefore w:val="0"/>
              <w:widowControl/>
              <w:kinsoku/>
              <w:wordWrap/>
              <w:overflowPunct/>
              <w:topLinePunct w:val="0"/>
              <w:autoSpaceDE/>
              <w:autoSpaceDN/>
              <w:bidi w:val="0"/>
              <w:spacing w:line="240" w:lineRule="auto"/>
              <w:ind w:firstLine="0" w:firstLineChars="0"/>
              <w:jc w:val="center"/>
              <w:textAlignment w:val="auto"/>
              <w:rPr>
                <w:rStyle w:val="6"/>
                <w:rFonts w:hint="eastAsia" w:ascii="仿宋_GB2312" w:hAnsi="仿宋_GB2312" w:eastAsia="仿宋_GB2312" w:cs="仿宋_GB2312"/>
                <w:b/>
                <w:bCs/>
                <w:color w:val="auto"/>
                <w:sz w:val="24"/>
                <w:szCs w:val="24"/>
                <w:lang w:val="en-US" w:eastAsia="zh-CN"/>
              </w:rPr>
            </w:pPr>
            <w:r>
              <w:rPr>
                <w:rStyle w:val="6"/>
                <w:rFonts w:hint="eastAsia" w:ascii="仿宋_GB2312" w:hAnsi="仿宋_GB2312" w:eastAsia="仿宋_GB2312" w:cs="仿宋_GB2312"/>
                <w:b/>
                <w:bCs/>
                <w:color w:val="auto"/>
                <w:sz w:val="24"/>
                <w:szCs w:val="24"/>
                <w:u w:val="none"/>
                <w:lang w:val="en-US" w:eastAsia="zh-CN"/>
              </w:rPr>
              <w:t>评价标准</w:t>
            </w:r>
          </w:p>
        </w:tc>
        <w:tc>
          <w:tcPr>
            <w:tcW w:w="463" w:type="pct"/>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77EB8739">
            <w:pPr>
              <w:pStyle w:val="3"/>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分值</w:t>
            </w:r>
          </w:p>
        </w:tc>
      </w:tr>
      <w:tr w14:paraId="4CFA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768" w:type="pct"/>
            <w:tcBorders>
              <w:top w:val="single" w:color="auto" w:sz="4" w:space="0"/>
              <w:bottom w:val="single" w:color="auto" w:sz="4" w:space="0"/>
              <w:right w:val="single" w:color="auto" w:sz="4" w:space="0"/>
            </w:tcBorders>
            <w:noWrap w:val="0"/>
            <w:vAlign w:val="center"/>
          </w:tcPr>
          <w:p w14:paraId="06903B9D">
            <w:pPr>
              <w:pStyle w:val="3"/>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自建资源建设情况</w:t>
            </w:r>
          </w:p>
        </w:tc>
        <w:tc>
          <w:tcPr>
            <w:tcW w:w="3767" w:type="pct"/>
            <w:tcBorders>
              <w:top w:val="single" w:color="auto" w:sz="4" w:space="0"/>
              <w:left w:val="single" w:color="auto" w:sz="4" w:space="0"/>
              <w:bottom w:val="single" w:color="auto" w:sz="4" w:space="0"/>
              <w:right w:val="single" w:color="auto" w:sz="4" w:space="0"/>
            </w:tcBorders>
            <w:noWrap w:val="0"/>
            <w:vAlign w:val="center"/>
          </w:tcPr>
          <w:p w14:paraId="07DD838C">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根据课程的自建资源（视频、课件、题库、章节设计）情况进行打分：</w:t>
            </w:r>
          </w:p>
          <w:p w14:paraId="34F0CEAB">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说明：</w:t>
            </w:r>
          </w:p>
          <w:p w14:paraId="3E0F1C93">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自建资源占比小于30%的，不得分；</w:t>
            </w:r>
          </w:p>
          <w:p w14:paraId="40935AA2">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自建资源占比在30%-60%之间的，得3分；</w:t>
            </w:r>
          </w:p>
          <w:p w14:paraId="33FDE459">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自建资源占比在60%-95%之间的，得6分；</w:t>
            </w:r>
          </w:p>
          <w:p w14:paraId="619396EA">
            <w:pPr>
              <w:keepNext w:val="0"/>
              <w:keepLines w:val="0"/>
              <w:pageBreakBefore w:val="0"/>
              <w:kinsoku/>
              <w:wordWrap/>
              <w:overflowPunct/>
              <w:topLinePunct w:val="0"/>
              <w:autoSpaceDE/>
              <w:autoSpaceDN/>
              <w:bidi w:val="0"/>
              <w:spacing w:line="240" w:lineRule="auto"/>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自建资源占比在95%以上的，得10分；</w:t>
            </w:r>
          </w:p>
        </w:tc>
        <w:tc>
          <w:tcPr>
            <w:tcW w:w="463" w:type="pct"/>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346DA1F3">
            <w:pPr>
              <w:pStyle w:val="3"/>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r>
      <w:tr w14:paraId="78AA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768" w:type="pct"/>
            <w:tcBorders>
              <w:top w:val="single" w:color="auto" w:sz="4" w:space="0"/>
              <w:bottom w:val="single" w:color="auto" w:sz="4" w:space="0"/>
              <w:right w:val="single" w:color="auto" w:sz="4" w:space="0"/>
            </w:tcBorders>
            <w:noWrap w:val="0"/>
            <w:vAlign w:val="center"/>
          </w:tcPr>
          <w:p w14:paraId="7CFD84E3">
            <w:pPr>
              <w:pStyle w:val="3"/>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知识图谱建设情况</w:t>
            </w:r>
          </w:p>
        </w:tc>
        <w:tc>
          <w:tcPr>
            <w:tcW w:w="3767" w:type="pct"/>
            <w:tcBorders>
              <w:top w:val="single" w:color="auto" w:sz="4" w:space="0"/>
              <w:left w:val="single" w:color="auto" w:sz="4" w:space="0"/>
              <w:bottom w:val="single" w:color="auto" w:sz="4" w:space="0"/>
              <w:right w:val="single" w:color="auto" w:sz="4" w:space="0"/>
            </w:tcBorders>
            <w:noWrap w:val="0"/>
            <w:vAlign w:val="center"/>
          </w:tcPr>
          <w:p w14:paraId="338E1D46">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根据课程的知识图谱建设及关联资源情况进行打分：</w:t>
            </w:r>
          </w:p>
          <w:p w14:paraId="5EB999ED">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说明：</w:t>
            </w:r>
          </w:p>
          <w:p w14:paraId="1D4B403B">
            <w:pPr>
              <w:keepNext w:val="0"/>
              <w:keepLines w:val="0"/>
              <w:pageBreakBefore w:val="0"/>
              <w:numPr>
                <w:ilvl w:val="0"/>
                <w:numId w:val="1"/>
              </w:numPr>
              <w:kinsoku/>
              <w:wordWrap/>
              <w:overflowPunct/>
              <w:topLinePunct w:val="0"/>
              <w:autoSpaceDE/>
              <w:autoSpaceDN/>
              <w:bidi w:val="0"/>
              <w:spacing w:line="240" w:lineRule="auto"/>
              <w:ind w:left="425" w:leftChars="0" w:hanging="425"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问题图谱问题数超过5个得2分，上限4分；</w:t>
            </w:r>
          </w:p>
          <w:p w14:paraId="6E5B66D1">
            <w:pPr>
              <w:keepNext w:val="0"/>
              <w:keepLines w:val="0"/>
              <w:pageBreakBefore w:val="0"/>
              <w:numPr>
                <w:ilvl w:val="0"/>
                <w:numId w:val="1"/>
              </w:numPr>
              <w:kinsoku/>
              <w:wordWrap/>
              <w:overflowPunct/>
              <w:topLinePunct w:val="0"/>
              <w:autoSpaceDE/>
              <w:autoSpaceDN/>
              <w:bidi w:val="0"/>
              <w:spacing w:line="240" w:lineRule="auto"/>
              <w:ind w:left="425" w:leftChars="0" w:hanging="425"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知识点关联章节资源数超过30个得2分，上限4分；</w:t>
            </w:r>
          </w:p>
          <w:p w14:paraId="5AA1CB0D">
            <w:pPr>
              <w:keepNext w:val="0"/>
              <w:keepLines w:val="0"/>
              <w:pageBreakBefore w:val="0"/>
              <w:numPr>
                <w:ilvl w:val="0"/>
                <w:numId w:val="1"/>
              </w:numPr>
              <w:kinsoku/>
              <w:wordWrap/>
              <w:overflowPunct/>
              <w:topLinePunct w:val="0"/>
              <w:autoSpaceDE/>
              <w:autoSpaceDN/>
              <w:bidi w:val="0"/>
              <w:spacing w:line="240" w:lineRule="auto"/>
              <w:ind w:left="425" w:leftChars="0" w:hanging="425"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知识点关联任务点数超过20个得2分，上限4分；</w:t>
            </w:r>
          </w:p>
          <w:p w14:paraId="6BDBD3C7">
            <w:pPr>
              <w:keepNext w:val="0"/>
              <w:keepLines w:val="0"/>
              <w:pageBreakBefore w:val="0"/>
              <w:numPr>
                <w:ilvl w:val="0"/>
                <w:numId w:val="1"/>
              </w:numPr>
              <w:kinsoku/>
              <w:wordWrap/>
              <w:overflowPunct/>
              <w:topLinePunct w:val="0"/>
              <w:autoSpaceDE/>
              <w:autoSpaceDN/>
              <w:bidi w:val="0"/>
              <w:spacing w:line="240" w:lineRule="auto"/>
              <w:ind w:left="425" w:leftChars="0" w:hanging="425"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知识点关联资料资源数超过40个得2分，上限4分；</w:t>
            </w:r>
          </w:p>
          <w:p w14:paraId="2B38E349">
            <w:pPr>
              <w:keepNext w:val="0"/>
              <w:keepLines w:val="0"/>
              <w:pageBreakBefore w:val="0"/>
              <w:numPr>
                <w:ilvl w:val="0"/>
                <w:numId w:val="1"/>
              </w:numPr>
              <w:kinsoku/>
              <w:wordWrap/>
              <w:overflowPunct/>
              <w:topLinePunct w:val="0"/>
              <w:autoSpaceDE/>
              <w:autoSpaceDN/>
              <w:bidi w:val="0"/>
              <w:spacing w:line="240" w:lineRule="auto"/>
              <w:ind w:left="425" w:leftChars="0" w:hanging="425"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知识点关联试题目数超过100个得2分，上限4分。</w:t>
            </w:r>
          </w:p>
          <w:p w14:paraId="059C208C">
            <w:pPr>
              <w:keepNext w:val="0"/>
              <w:keepLines w:val="0"/>
              <w:pageBreakBefore w:val="0"/>
              <w:kinsoku/>
              <w:wordWrap/>
              <w:overflowPunct/>
              <w:topLinePunct w:val="0"/>
              <w:autoSpaceDE/>
              <w:autoSpaceDN/>
              <w:bidi w:val="0"/>
              <w:spacing w:line="240" w:lineRule="auto"/>
              <w:ind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以上各项知识点建立不达基准数不得分，超过基准数按比例折算得分，但不得超过上限分。</w:t>
            </w:r>
          </w:p>
        </w:tc>
        <w:tc>
          <w:tcPr>
            <w:tcW w:w="463" w:type="pct"/>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6E7E3394">
            <w:pPr>
              <w:pStyle w:val="3"/>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20分</w:t>
            </w:r>
          </w:p>
        </w:tc>
      </w:tr>
      <w:tr w14:paraId="3ADD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jc w:val="center"/>
        </w:trPr>
        <w:tc>
          <w:tcPr>
            <w:tcW w:w="768" w:type="pct"/>
            <w:tcBorders>
              <w:top w:val="single" w:color="auto" w:sz="4" w:space="0"/>
              <w:bottom w:val="single" w:color="auto" w:sz="4" w:space="0"/>
              <w:right w:val="single" w:color="auto" w:sz="4" w:space="0"/>
            </w:tcBorders>
            <w:shd w:val="clear" w:color="auto" w:fill="auto"/>
            <w:noWrap w:val="0"/>
            <w:vAlign w:val="center"/>
          </w:tcPr>
          <w:p w14:paraId="6FA987CB">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教学</w:t>
            </w:r>
          </w:p>
          <w:p w14:paraId="01D6A188">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活动</w:t>
            </w:r>
          </w:p>
        </w:tc>
        <w:tc>
          <w:tcPr>
            <w:tcW w:w="376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E51D2B">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教师根据课程教学的实际情况进行充分发布不同种类的学习活动，根据</w:t>
            </w:r>
            <w:r>
              <w:rPr>
                <w:rFonts w:hint="eastAsia" w:ascii="仿宋_GB2312" w:hAnsi="仿宋_GB2312" w:eastAsia="仿宋_GB2312" w:cs="仿宋_GB2312"/>
                <w:sz w:val="24"/>
                <w:szCs w:val="24"/>
              </w:rPr>
              <w:t>教师在班级中</w:t>
            </w:r>
            <w:r>
              <w:rPr>
                <w:rFonts w:hint="eastAsia" w:ascii="仿宋_GB2312" w:hAnsi="仿宋_GB2312" w:eastAsia="仿宋_GB2312" w:cs="仿宋_GB2312"/>
                <w:sz w:val="24"/>
                <w:szCs w:val="24"/>
                <w:lang w:val="en-US" w:eastAsia="zh-CN"/>
              </w:rPr>
              <w:t>发布的学习活动类型和数量进行核算分数：</w:t>
            </w:r>
          </w:p>
          <w:p w14:paraId="1EDD691A">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说明：</w:t>
            </w:r>
          </w:p>
          <w:p w14:paraId="5C2973F9">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1.学习活动</w:t>
            </w:r>
            <w:r>
              <w:rPr>
                <w:rFonts w:hint="eastAsia" w:ascii="仿宋_GB2312" w:hAnsi="仿宋_GB2312" w:eastAsia="仿宋_GB2312" w:cs="仿宋_GB2312"/>
                <w:sz w:val="24"/>
                <w:szCs w:val="24"/>
              </w:rPr>
              <w:t>包括利用学习通平台发布的</w:t>
            </w:r>
            <w:r>
              <w:rPr>
                <w:rFonts w:hint="eastAsia" w:ascii="仿宋_GB2312" w:hAnsi="仿宋_GB2312" w:eastAsia="仿宋_GB2312" w:cs="仿宋_GB2312"/>
                <w:b/>
                <w:bCs/>
                <w:color w:val="auto"/>
                <w:sz w:val="24"/>
                <w:szCs w:val="24"/>
                <w:lang w:val="en-US" w:eastAsia="zh-CN"/>
              </w:rPr>
              <w:t>签到、选人、问卷、分组任务、投票、评分6</w:t>
            </w:r>
            <w:r>
              <w:rPr>
                <w:rFonts w:hint="eastAsia" w:ascii="仿宋_GB2312" w:hAnsi="仿宋_GB2312" w:eastAsia="仿宋_GB2312" w:cs="仿宋_GB2312"/>
                <w:sz w:val="24"/>
                <w:szCs w:val="24"/>
                <w:lang w:val="en-US" w:eastAsia="zh-CN"/>
              </w:rPr>
              <w:t>种类型的学习活动；每个种类加2分，满分12分</w:t>
            </w:r>
            <w:r>
              <w:rPr>
                <w:rFonts w:hint="eastAsia" w:ascii="仿宋_GB2312" w:hAnsi="仿宋_GB2312" w:eastAsia="仿宋_GB2312" w:cs="仿宋_GB2312"/>
                <w:sz w:val="24"/>
                <w:szCs w:val="24"/>
              </w:rPr>
              <w:t>。</w:t>
            </w:r>
          </w:p>
          <w:p w14:paraId="707D5FAD">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2.活动数量分数核算方式：活动总数/班级个数得出每个班级的平均活动数，按照最高数量为满分【基准】，其他按照【基准】比例折算分数，满分18分。</w:t>
            </w:r>
          </w:p>
          <w:p w14:paraId="6AA9A603">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例如：A老师的活动总数/班级个数为300是最高活动数，得分18分，B老师活动总数/班级个数为260，则B老师得分260/300*18=15.6分；</w:t>
            </w: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0DFBAFC2">
            <w:pPr>
              <w:pStyle w:val="3"/>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lang w:val="en-US" w:eastAsia="zh-CN"/>
              </w:rPr>
              <w:t>30</w:t>
            </w:r>
            <w:r>
              <w:rPr>
                <w:rFonts w:hint="eastAsia" w:ascii="仿宋_GB2312" w:hAnsi="仿宋_GB2312" w:eastAsia="仿宋_GB2312" w:cs="仿宋_GB2312"/>
                <w:color w:val="auto"/>
                <w:sz w:val="24"/>
                <w:szCs w:val="24"/>
              </w:rPr>
              <w:t>分</w:t>
            </w:r>
          </w:p>
        </w:tc>
      </w:tr>
      <w:tr w14:paraId="6A061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68" w:type="pct"/>
            <w:tcBorders>
              <w:top w:val="single" w:color="auto" w:sz="4" w:space="0"/>
              <w:bottom w:val="single" w:color="auto" w:sz="4" w:space="0"/>
              <w:right w:val="single" w:color="auto" w:sz="4" w:space="0"/>
            </w:tcBorders>
            <w:shd w:val="clear" w:color="auto" w:fill="auto"/>
            <w:noWrap w:val="0"/>
            <w:vAlign w:val="center"/>
          </w:tcPr>
          <w:p w14:paraId="56409683">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课程</w:t>
            </w:r>
          </w:p>
          <w:p w14:paraId="4DB4C721">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活跃度</w:t>
            </w:r>
          </w:p>
        </w:tc>
        <w:tc>
          <w:tcPr>
            <w:tcW w:w="3767"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5ED3CA">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课程</w:t>
            </w:r>
            <w:r>
              <w:rPr>
                <w:rFonts w:hint="eastAsia" w:ascii="仿宋_GB2312" w:hAnsi="仿宋_GB2312" w:eastAsia="仿宋_GB2312" w:cs="仿宋_GB2312"/>
                <w:sz w:val="24"/>
                <w:szCs w:val="24"/>
              </w:rPr>
              <w:t>活跃度含有</w:t>
            </w:r>
            <w:r>
              <w:rPr>
                <w:rFonts w:hint="eastAsia" w:ascii="仿宋_GB2312" w:hAnsi="仿宋_GB2312" w:eastAsia="仿宋_GB2312" w:cs="仿宋_GB2312"/>
                <w:sz w:val="24"/>
                <w:szCs w:val="24"/>
                <w:lang w:val="en-US" w:eastAsia="zh-CN"/>
              </w:rPr>
              <w:t>两</w:t>
            </w:r>
            <w:r>
              <w:rPr>
                <w:rFonts w:hint="eastAsia" w:ascii="仿宋_GB2312" w:hAnsi="仿宋_GB2312" w:eastAsia="仿宋_GB2312" w:cs="仿宋_GB2312"/>
                <w:sz w:val="24"/>
                <w:szCs w:val="24"/>
              </w:rPr>
              <w:t>项维度参数</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课程平台点击率、活动热度。</w:t>
            </w:r>
          </w:p>
          <w:p w14:paraId="0DE166CF">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说明：</w:t>
            </w:r>
          </w:p>
          <w:p w14:paraId="385FD7F9">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1.课程平台点击率=点击数/</w:t>
            </w:r>
            <w:r>
              <w:rPr>
                <w:rFonts w:hint="eastAsia" w:ascii="仿宋_GB2312" w:hAnsi="仿宋_GB2312" w:eastAsia="仿宋_GB2312" w:cs="仿宋_GB2312"/>
                <w:sz w:val="24"/>
                <w:szCs w:val="24"/>
                <w:lang w:val="en-US" w:eastAsia="zh-CN"/>
              </w:rPr>
              <w:t>课程</w:t>
            </w:r>
            <w:r>
              <w:rPr>
                <w:rFonts w:hint="eastAsia" w:ascii="仿宋_GB2312" w:hAnsi="仿宋_GB2312" w:eastAsia="仿宋_GB2312" w:cs="仿宋_GB2312"/>
                <w:sz w:val="24"/>
                <w:szCs w:val="24"/>
              </w:rPr>
              <w:t>人数；每50个点击率计1分；满分10分。如某课程平台点击数为10000，</w:t>
            </w:r>
            <w:r>
              <w:rPr>
                <w:rFonts w:hint="eastAsia" w:ascii="仿宋_GB2312" w:hAnsi="仿宋_GB2312" w:eastAsia="仿宋_GB2312" w:cs="仿宋_GB2312"/>
                <w:sz w:val="24"/>
                <w:szCs w:val="24"/>
                <w:lang w:val="en-US" w:eastAsia="zh-CN"/>
              </w:rPr>
              <w:t>课程</w:t>
            </w:r>
            <w:r>
              <w:rPr>
                <w:rFonts w:hint="eastAsia" w:ascii="仿宋_GB2312" w:hAnsi="仿宋_GB2312" w:eastAsia="仿宋_GB2312" w:cs="仿宋_GB2312"/>
                <w:sz w:val="24"/>
                <w:szCs w:val="24"/>
              </w:rPr>
              <w:t>人数为50人，平台点击率=10000/50=200，200/50=4分；</w:t>
            </w:r>
          </w:p>
          <w:p w14:paraId="5AD41D70">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2.活动热度</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涉及的活动有</w:t>
            </w:r>
            <w:r>
              <w:rPr>
                <w:rFonts w:hint="eastAsia" w:ascii="仿宋_GB2312" w:hAnsi="仿宋_GB2312" w:eastAsia="仿宋_GB2312" w:cs="仿宋_GB2312"/>
                <w:b/>
                <w:bCs/>
                <w:color w:val="auto"/>
                <w:sz w:val="24"/>
                <w:szCs w:val="24"/>
                <w:lang w:val="en-US" w:eastAsia="zh-CN"/>
              </w:rPr>
              <w:t>（问卷、分组任务、主题讨论、投票、评分、作业）。</w:t>
            </w:r>
            <w:r>
              <w:rPr>
                <w:rFonts w:hint="eastAsia" w:ascii="仿宋_GB2312" w:hAnsi="仿宋_GB2312" w:eastAsia="仿宋_GB2312" w:cs="仿宋_GB2312"/>
                <w:color w:val="auto"/>
                <w:sz w:val="24"/>
                <w:szCs w:val="24"/>
                <w:lang w:val="en-US" w:eastAsia="zh-CN"/>
              </w:rPr>
              <w:t>每类活动的学生参与率为100%的得5分，满分30分；非100%参与的按照</w:t>
            </w:r>
            <w:r>
              <w:rPr>
                <w:rFonts w:hint="eastAsia" w:ascii="仿宋_GB2312" w:hAnsi="仿宋_GB2312" w:eastAsia="仿宋_GB2312" w:cs="仿宋_GB2312"/>
                <w:b/>
                <w:bCs/>
                <w:color w:val="auto"/>
                <w:sz w:val="24"/>
                <w:szCs w:val="24"/>
                <w:lang w:val="en-US" w:eastAsia="zh-CN"/>
              </w:rPr>
              <w:t>参与率</w:t>
            </w:r>
            <w:r>
              <w:rPr>
                <w:rFonts w:hint="eastAsia" w:ascii="仿宋_GB2312" w:hAnsi="仿宋_GB2312" w:eastAsia="仿宋_GB2312" w:cs="仿宋_GB2312"/>
                <w:color w:val="auto"/>
                <w:sz w:val="24"/>
                <w:szCs w:val="24"/>
                <w:lang w:val="en-US" w:eastAsia="zh-CN"/>
              </w:rPr>
              <w:t>*5进行核算每个种类的活动得分</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lang w:val="en-US" w:eastAsia="zh-CN"/>
              </w:rPr>
              <w:t>该项总分为各类活动得分累加得出；</w:t>
            </w:r>
          </w:p>
          <w:p w14:paraId="6C1084D5">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例如：主题讨论类活动发布5次，每次活动参与率都是100%，则主题讨论类活动热度得5分，其他情况按照该活动得实际参与率*5进行核算；</w:t>
            </w:r>
          </w:p>
          <w:p w14:paraId="276611A0">
            <w:pPr>
              <w:keepNext w:val="0"/>
              <w:keepLines w:val="0"/>
              <w:pageBreakBefore w:val="0"/>
              <w:kinsoku/>
              <w:wordWrap/>
              <w:overflowPunct/>
              <w:topLinePunct w:val="0"/>
              <w:autoSpaceDE/>
              <w:autoSpaceDN/>
              <w:bidi w:val="0"/>
              <w:spacing w:line="240" w:lineRule="auto"/>
              <w:ind w:firstLine="0" w:firstLineChars="0"/>
              <w:textAlignment w:val="auto"/>
              <w:rPr>
                <w:rFonts w:hint="eastAsia" w:ascii="仿宋_GB2312" w:hAnsi="仿宋_GB2312" w:eastAsia="仿宋_GB2312" w:cs="仿宋_GB2312"/>
                <w:kern w:val="2"/>
                <w:sz w:val="24"/>
                <w:szCs w:val="24"/>
                <w:lang w:val="en-US" w:eastAsia="zh-CN" w:bidi="ar-SA"/>
              </w:rPr>
            </w:pPr>
          </w:p>
        </w:tc>
        <w:tc>
          <w:tcPr>
            <w:tcW w:w="463" w:type="pct"/>
            <w:tcBorders>
              <w:top w:val="single" w:color="auto" w:sz="4" w:space="0"/>
              <w:left w:val="single" w:color="auto" w:sz="4" w:space="0"/>
              <w:bottom w:val="single" w:color="auto" w:sz="4" w:space="0"/>
              <w:right w:val="single" w:color="auto" w:sz="4" w:space="0"/>
            </w:tcBorders>
            <w:shd w:val="clear" w:color="auto" w:fill="auto"/>
            <w:noWrap w:val="0"/>
            <w:tcMar>
              <w:left w:w="105" w:type="dxa"/>
              <w:right w:w="105" w:type="dxa"/>
            </w:tcMar>
            <w:vAlign w:val="center"/>
          </w:tcPr>
          <w:p w14:paraId="174061B8">
            <w:pPr>
              <w:pStyle w:val="3"/>
              <w:keepNext w:val="0"/>
              <w:keepLines w:val="0"/>
              <w:pageBreakBefore w:val="0"/>
              <w:widowControl/>
              <w:kinsoku/>
              <w:wordWrap/>
              <w:overflowPunct/>
              <w:topLinePunct w:val="0"/>
              <w:autoSpaceDE/>
              <w:autoSpaceDN/>
              <w:bidi w:val="0"/>
              <w:spacing w:line="240" w:lineRule="auto"/>
              <w:ind w:left="0" w:leftChars="0" w:right="0" w:rightChars="0" w:firstLine="0" w:firstLineChars="0"/>
              <w:jc w:val="center"/>
              <w:textAlignment w:val="auto"/>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lang w:val="en-US" w:eastAsia="zh-CN"/>
              </w:rPr>
              <w:t>40</w:t>
            </w:r>
            <w:r>
              <w:rPr>
                <w:rFonts w:hint="eastAsia" w:ascii="仿宋_GB2312" w:hAnsi="仿宋_GB2312" w:eastAsia="仿宋_GB2312" w:cs="仿宋_GB2312"/>
                <w:color w:val="auto"/>
                <w:sz w:val="24"/>
                <w:szCs w:val="24"/>
              </w:rPr>
              <w:t>分</w:t>
            </w:r>
          </w:p>
        </w:tc>
      </w:tr>
      <w:tr w14:paraId="16754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000" w:type="pct"/>
            <w:gridSpan w:val="3"/>
            <w:tcBorders>
              <w:top w:val="single" w:color="auto" w:sz="4" w:space="0"/>
              <w:bottom w:val="single" w:color="auto" w:sz="4" w:space="0"/>
              <w:right w:val="single" w:color="auto" w:sz="4" w:space="0"/>
            </w:tcBorders>
            <w:noWrap w:val="0"/>
            <w:vAlign w:val="center"/>
          </w:tcPr>
          <w:p w14:paraId="7C167217">
            <w:pPr>
              <w:pStyle w:val="3"/>
              <w:keepNext w:val="0"/>
              <w:keepLines w:val="0"/>
              <w:pageBreakBefore w:val="0"/>
              <w:widowControl/>
              <w:kinsoku/>
              <w:wordWrap/>
              <w:overflowPunct/>
              <w:topLinePunct w:val="0"/>
              <w:autoSpaceDE/>
              <w:autoSpaceDN/>
              <w:bidi w:val="0"/>
              <w:spacing w:line="240" w:lineRule="auto"/>
              <w:ind w:firstLine="0" w:firstLineChars="0"/>
              <w:jc w:val="center"/>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FF0000"/>
                <w:kern w:val="2"/>
                <w:sz w:val="24"/>
                <w:szCs w:val="24"/>
                <w:lang w:val="en-US" w:eastAsia="zh-CN" w:bidi="ar-SA"/>
              </w:rPr>
              <w:t>总分=自建资源得分+知识图谱总分+教学活动总分+课程活跃度总分</w:t>
            </w:r>
          </w:p>
        </w:tc>
      </w:tr>
      <w:tr w14:paraId="645B2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5000" w:type="pct"/>
            <w:gridSpan w:val="3"/>
            <w:tcBorders>
              <w:top w:val="single" w:color="auto" w:sz="4" w:space="0"/>
              <w:bottom w:val="single" w:color="auto" w:sz="4" w:space="0"/>
              <w:right w:val="single" w:color="auto" w:sz="4" w:space="0"/>
            </w:tcBorders>
            <w:noWrap w:val="0"/>
            <w:vAlign w:val="center"/>
          </w:tcPr>
          <w:p w14:paraId="202E378C">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仿宋_GB2312" w:hAnsi="仿宋_GB2312" w:eastAsia="仿宋_GB2312" w:cs="仿宋_GB2312"/>
                <w:b/>
                <w:bCs/>
                <w:color w:val="auto"/>
                <w:kern w:val="2"/>
                <w:sz w:val="24"/>
                <w:szCs w:val="24"/>
                <w:lang w:val="en-US" w:eastAsia="zh-CN" w:bidi="ar-SA"/>
              </w:rPr>
            </w:pPr>
            <w:r>
              <w:rPr>
                <w:rFonts w:hint="eastAsia" w:ascii="仿宋_GB2312" w:hAnsi="仿宋_GB2312" w:eastAsia="仿宋_GB2312" w:cs="仿宋_GB2312"/>
                <w:b/>
                <w:bCs/>
                <w:color w:val="auto"/>
                <w:kern w:val="2"/>
                <w:sz w:val="24"/>
                <w:szCs w:val="24"/>
                <w:lang w:val="en-US" w:eastAsia="zh-CN" w:bidi="ar-SA"/>
              </w:rPr>
              <w:t>说明：</w:t>
            </w:r>
          </w:p>
          <w:p w14:paraId="28CE2C81">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考虑课程学时数不同，教学活动总分和课程活跃度总分两个评价分按照所有参赛课程中的最低学时数为基准进行折算。如在统计时间段内，所有参赛课程中的最低学时数为M，某门课程的学时数为X，则以上三项分数按照M/X进行折算。</w:t>
            </w:r>
          </w:p>
          <w:p w14:paraId="5F60661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kern w:val="2"/>
                <w:sz w:val="24"/>
                <w:szCs w:val="24"/>
                <w:lang w:val="en-US" w:eastAsia="zh-CN" w:bidi="ar-SA"/>
              </w:rPr>
              <w:t>2.为给参赛老师提供更加公平公正的参赛环境，教务处和超星技术人员会进入参赛老师教学空间进行教学数据的实际核查，一旦发现存有数据作弊情况，即刻取消参赛资格。</w:t>
            </w:r>
          </w:p>
        </w:tc>
      </w:tr>
    </w:tbl>
    <w:p w14:paraId="5178A78F"/>
    <w:p w14:paraId="14E1DE33">
      <w:pPr>
        <w:pStyle w:val="7"/>
        <w:shd w:val="clear"/>
        <w:spacing w:line="560" w:lineRule="exact"/>
        <w:rPr>
          <w:rFonts w:hint="default" w:ascii="仿宋_GB2312" w:eastAsia="仿宋_GB2312"/>
          <w:color w:val="auto"/>
          <w:sz w:val="32"/>
          <w:szCs w:val="32"/>
          <w:highlight w:val="none"/>
          <w:shd w:val="clear"/>
          <w:lang w:val="en-US" w:eastAsia="zh-CN"/>
        </w:rPr>
      </w:pPr>
    </w:p>
    <w:p w14:paraId="0D7F4E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D80CC"/>
    <w:multiLevelType w:val="singleLevel"/>
    <w:tmpl w:val="304D80CC"/>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961BB"/>
    <w:rsid w:val="0FB961BB"/>
    <w:rsid w:val="2DF67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caption"/>
    <w:basedOn w:val="1"/>
    <w:next w:val="1"/>
    <w:unhideWhenUsed/>
    <w:qFormat/>
    <w:uiPriority w:val="0"/>
    <w:pPr>
      <w:ind w:firstLine="0" w:firstLineChars="0"/>
    </w:pPr>
    <w:rPr>
      <w:rFonts w:cs="仿宋"/>
      <w:sz w:val="20"/>
    </w:rPr>
  </w:style>
  <w:style w:type="paragraph" w:styleId="3">
    <w:name w:val="Normal (Web)"/>
    <w:basedOn w:val="1"/>
    <w:qFormat/>
    <w:uiPriority w:val="0"/>
    <w:rPr>
      <w:sz w:val="24"/>
      <w:szCs w:val="24"/>
    </w:rPr>
  </w:style>
  <w:style w:type="character" w:styleId="6">
    <w:name w:val="Strong"/>
    <w:basedOn w:val="5"/>
    <w:qFormat/>
    <w:uiPriority w:val="0"/>
    <w:rPr>
      <w:rFonts w:ascii="仿宋" w:hAnsi="仿宋" w:eastAsia="仿宋" w:cs="Times New Roman"/>
      <w:b/>
      <w:bCs/>
      <w:color w:val="262626" w:themeColor="text1" w:themeTint="D9"/>
      <w:spacing w:val="-6"/>
      <w:kern w:val="2"/>
      <w:sz w:val="32"/>
      <w:szCs w:val="32"/>
      <w:u w:val="single"/>
      <w:lang w:val="en-US" w:eastAsia="zh-CN" w:bidi="ar-SA"/>
      <w14:textFill>
        <w14:solidFill>
          <w14:schemeClr w14:val="tx1">
            <w14:lumMod w14:val="85000"/>
            <w14:lumOff w14:val="15000"/>
          </w14:schemeClr>
        </w14:solidFill>
      </w14:textFill>
    </w:rPr>
  </w:style>
  <w:style w:type="paragraph" w:customStyle="1" w:styleId="7">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1059</Words>
  <Characters>1154</Characters>
  <Lines>0</Lines>
  <Paragraphs>0</Paragraphs>
  <TotalTime>11</TotalTime>
  <ScaleCrop>false</ScaleCrop>
  <LinksUpToDate>false</LinksUpToDate>
  <CharactersWithSpaces>1154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2025-11-06T07:00:00Z</dcterms:created>
  <dc:creator>MR.WANG</dc:creator>
  <cp:lastModifiedBy>MR.WANG</cp:lastModifiedBy>
  <dcterms:modified xsi:type="dcterms:W3CDTF">2025-11-07T07:09:08Z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050CD9B2CC6346A8A6CA4B536E42437D_11</vt:lpwstr>
  </property>
  <property fmtid="{D5CDD505-2E9C-101B-9397-08002B2CF9AE}" pid="4" name="KSOTemplateDocerSaveRecord">
    <vt:lpwstr>eyJoZGlkIjoiMTZiYjFmZDIwNTY2Y2MxOWE0NTk4NTFlNGEyMmNkZDIiLCJ1c2VySWQiOiIxODk5Mzg3OTIifQ==</vt:lpwstr>
  </property>
</Properties>
</file>