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261" w:rsidRPr="00DC6C3A" w:rsidRDefault="00EC1362">
      <w:pPr>
        <w:pStyle w:val="afff0"/>
        <w:spacing w:after="240"/>
        <w:rPr>
          <w:rFonts w:hAnsi="方正小标宋_GBK" w:cs="方正小标宋_GBK" w:hint="eastAsia"/>
        </w:rPr>
      </w:pPr>
      <w:r w:rsidRPr="00DC6C3A">
        <w:rPr>
          <w:rFonts w:hAnsi="方正小标宋_GBK" w:cs="方正小标宋_GBK" w:hint="eastAsia"/>
        </w:rPr>
        <w:t>淮南联合大学</w:t>
      </w:r>
      <w:r w:rsidRPr="00DC6C3A">
        <w:rPr>
          <w:rFonts w:hAnsi="方正小标宋_GBK" w:cs="方正小标宋_GBK" w:hint="eastAsia"/>
        </w:rPr>
        <w:t>教学成果奖申报</w:t>
      </w:r>
      <w:r w:rsidRPr="00DC6C3A">
        <w:rPr>
          <w:rFonts w:hAnsi="方正小标宋_GBK" w:cs="方正小标宋_GBK" w:hint="eastAsia"/>
        </w:rPr>
        <w:t>评审</w:t>
      </w:r>
      <w:r w:rsidRPr="00DC6C3A">
        <w:rPr>
          <w:rFonts w:hAnsi="方正小标宋_GBK" w:cs="方正小标宋_GBK" w:hint="eastAsia"/>
        </w:rPr>
        <w:t>管理办法</w:t>
      </w:r>
      <w:r w:rsidR="00124C4A">
        <w:rPr>
          <w:rFonts w:hAnsi="方正小标宋_GBK" w:cs="方正小标宋_GBK" w:hint="eastAsia"/>
        </w:rPr>
        <w:t>（征求意见稿</w:t>
      </w:r>
      <w:bookmarkStart w:id="0" w:name="_GoBack"/>
      <w:bookmarkEnd w:id="0"/>
      <w:r w:rsidR="00124C4A">
        <w:rPr>
          <w:rFonts w:hAnsi="方正小标宋_GBK" w:cs="方正小标宋_GBK" w:hint="eastAsia"/>
        </w:rPr>
        <w:t>）</w:t>
      </w:r>
    </w:p>
    <w:p w:rsidR="00AF6261" w:rsidRDefault="00EC1362">
      <w:pPr>
        <w:pStyle w:val="1"/>
        <w:spacing w:before="240" w:after="240"/>
      </w:pPr>
      <w:r>
        <w:t xml:space="preserve"> </w:t>
      </w:r>
      <w:r>
        <w:t>总则</w:t>
      </w:r>
    </w:p>
    <w:p w:rsidR="00AF6261" w:rsidRDefault="00EC1362">
      <w:pPr>
        <w:numPr>
          <w:ilvl w:val="0"/>
          <w:numId w:val="12"/>
        </w:numPr>
        <w:ind w:firstLine="560"/>
      </w:pPr>
      <w:r>
        <w:t>为深入贯彻落实国家及地方关于高等职业教育改革发展的各项决策部署，聚焦立德树人根本任务，激励全校教职员工积极投身教育教学改革实践，总结推广具有创新性、实用性和示范性的教学成果，全面提升人才培养质量，依据《国务院教学成果奖励条例》等相关规定，结合本校高等职业教育办学实际，特制定本办法。</w:t>
      </w:r>
    </w:p>
    <w:p w:rsidR="00AF6261" w:rsidRDefault="00EC1362">
      <w:pPr>
        <w:numPr>
          <w:ilvl w:val="0"/>
          <w:numId w:val="12"/>
        </w:numPr>
        <w:ind w:firstLine="560"/>
      </w:pPr>
      <w:r>
        <w:t>本办法所称教学成果，是指全面贯彻党的教育方针，坚持为社会主义现代化建设服务、为人民服务，落实立德树人根本任务，反映我国高等职业教育教学改革的新成就，代表高等职业教育教学改革理论创新和实践探索的新成果，针对高等职业教育教学中存在的问题，提出有效解决办法，实施效果显著，能够在教育教学领域贯彻落实党的二十大精神，健全高等职业教育与培训体系，深化产教融合、校企合作中发挥引领作用，具有明确创新性和应用推广价值的教育教学成果。具体主要包括：</w:t>
      </w:r>
    </w:p>
    <w:p w:rsidR="00AF6261" w:rsidRDefault="00EC1362">
      <w:pPr>
        <w:numPr>
          <w:ilvl w:val="0"/>
          <w:numId w:val="13"/>
        </w:numPr>
        <w:ind w:firstLineChars="0"/>
      </w:pPr>
      <w:r>
        <w:t>转变教育思想和教育观念，落实立德树人根本任务，全面推进素质教育，</w:t>
      </w:r>
      <w:proofErr w:type="gramStart"/>
      <w:r>
        <w:t>健全德技并</w:t>
      </w:r>
      <w:proofErr w:type="gramEnd"/>
      <w:r>
        <w:t>修育</w:t>
      </w:r>
      <w:r>
        <w:t>人机制，培养工匠精神、职业道德和就业创业能力，服务经济社会发展和学生全面成长，改革人才培养模式、课程体系、教学内容，改进教学方法和教育技术，促进信息技术应用，推广应用优质教育资源，注重系统培养和多样成才，推动教育教学改革与产业转型升级衔接配套，突出高等职业院校办学特点，强化校企协同育人，提高培养质量等方面的成果。</w:t>
      </w:r>
    </w:p>
    <w:p w:rsidR="00AF6261" w:rsidRDefault="00EC1362">
      <w:pPr>
        <w:numPr>
          <w:ilvl w:val="0"/>
          <w:numId w:val="13"/>
        </w:numPr>
        <w:ind w:firstLineChars="0"/>
      </w:pPr>
      <w:r>
        <w:lastRenderedPageBreak/>
        <w:t>推动教学运行与教学管理改革，加强教学基本建设，组织教学质量评价和人才培养质量评价，开展质量保证与监控工作，建立自我约束、自我发展机制，具有独创性、新颖性、实用性，推进教学管理现代化、信息化方面的成</w:t>
      </w:r>
      <w:r>
        <w:t>果。</w:t>
      </w:r>
    </w:p>
    <w:p w:rsidR="00AF6261" w:rsidRDefault="00EC1362">
      <w:pPr>
        <w:numPr>
          <w:ilvl w:val="0"/>
          <w:numId w:val="13"/>
        </w:numPr>
        <w:ind w:firstLineChars="0"/>
      </w:pPr>
      <w:r>
        <w:t>结合自身特点，推广应用已有的教学成果，并在实践中进一步整合、创新和发展，显著提高办学效益和人才培养质量，有继承性、前瞻性和可操作性，并对教育教学改革有进一步的推动和辐射作用的成果。</w:t>
      </w:r>
    </w:p>
    <w:p w:rsidR="00AF6261" w:rsidRDefault="00EC1362">
      <w:pPr>
        <w:numPr>
          <w:ilvl w:val="0"/>
          <w:numId w:val="12"/>
        </w:numPr>
        <w:ind w:firstLine="560"/>
      </w:pPr>
      <w:r>
        <w:t>教学成果奖申报评选工作坚持以下原则：</w:t>
      </w:r>
    </w:p>
    <w:p w:rsidR="00AF6261" w:rsidRDefault="00EC1362">
      <w:pPr>
        <w:numPr>
          <w:ilvl w:val="0"/>
          <w:numId w:val="14"/>
        </w:numPr>
        <w:ind w:firstLineChars="0"/>
      </w:pPr>
      <w:r>
        <w:t>育人为本，质量为先。以提升人才培养质量为核心，突出成果的育人实效，确保成果服务于高职教育人才培养目标。</w:t>
      </w:r>
    </w:p>
    <w:p w:rsidR="00AF6261" w:rsidRDefault="00EC1362">
      <w:pPr>
        <w:numPr>
          <w:ilvl w:val="0"/>
          <w:numId w:val="14"/>
        </w:numPr>
        <w:ind w:firstLineChars="0"/>
      </w:pPr>
      <w:r>
        <w:t>创新引领，特色鲜明。重点关注具有原创性、突破性的教学改革成果，鼓励结合学校办学定位和专业特色形成差异化成果。</w:t>
      </w:r>
    </w:p>
    <w:p w:rsidR="00AF6261" w:rsidRDefault="00EC1362">
      <w:pPr>
        <w:numPr>
          <w:ilvl w:val="0"/>
          <w:numId w:val="14"/>
        </w:numPr>
        <w:ind w:firstLineChars="0"/>
      </w:pPr>
      <w:r>
        <w:t>公平公正，公开透明。规范申报评选流程，健全监督机制，确保申报、评审、公示</w:t>
      </w:r>
      <w:r>
        <w:t>等各环节阳光操作，保障师生知情权与参与权。</w:t>
      </w:r>
    </w:p>
    <w:p w:rsidR="00AF6261" w:rsidRDefault="00EC1362">
      <w:pPr>
        <w:numPr>
          <w:ilvl w:val="0"/>
          <w:numId w:val="14"/>
        </w:numPr>
        <w:ind w:firstLineChars="0"/>
      </w:pPr>
      <w:r>
        <w:t>注重实效，推广可行。强调成果的实践检验性和推广应用价值，优先评选能够为同类院校提供借鉴、可复制可推广的成果。</w:t>
      </w:r>
    </w:p>
    <w:p w:rsidR="00AF6261" w:rsidRDefault="00EC1362">
      <w:pPr>
        <w:numPr>
          <w:ilvl w:val="0"/>
          <w:numId w:val="12"/>
        </w:numPr>
        <w:ind w:firstLine="560"/>
      </w:pPr>
      <w:r>
        <w:t>本办法适用于本校所有在职教职员工（含兼职教师、合作企业参与教学改革的人员）申报的教学成果。</w:t>
      </w:r>
      <w:r w:rsidR="00DC6C3A">
        <w:t>以</w:t>
      </w:r>
      <w:r w:rsidR="00DC6C3A">
        <w:rPr>
          <w:rFonts w:hint="eastAsia"/>
        </w:rPr>
        <w:t>我</w:t>
      </w:r>
      <w:r w:rsidR="00DC6C3A">
        <w:t>校为第一完成单位</w:t>
      </w:r>
      <w:r w:rsidR="00DC6C3A">
        <w:rPr>
          <w:rFonts w:hint="eastAsia"/>
        </w:rPr>
        <w:t>，与</w:t>
      </w:r>
      <w:r>
        <w:t>校外单位</w:t>
      </w:r>
      <w:r>
        <w:t>合作完成的教学成果，</w:t>
      </w:r>
      <w:r w:rsidR="00DC6C3A">
        <w:rPr>
          <w:rFonts w:hint="eastAsia"/>
        </w:rPr>
        <w:t>我</w:t>
      </w:r>
      <w:r>
        <w:t>校人员为成果核心贡献者。</w:t>
      </w:r>
    </w:p>
    <w:p w:rsidR="00F30CA3" w:rsidRDefault="00F30CA3" w:rsidP="00F30CA3">
      <w:pPr>
        <w:numPr>
          <w:ilvl w:val="0"/>
          <w:numId w:val="12"/>
        </w:numPr>
        <w:ind w:firstLineChars="0"/>
      </w:pPr>
      <w:r w:rsidRPr="00F30CA3">
        <w:t>教学成果奖申报实行逐级推荐原则。申报省级教学成果奖的成果，原则上应从校级获奖成果中择优推荐；申报国家级教学</w:t>
      </w:r>
      <w:r w:rsidRPr="00F30CA3">
        <w:lastRenderedPageBreak/>
        <w:t>成果奖的成果，原则上应从省级获奖成果中择优推荐。</w:t>
      </w:r>
    </w:p>
    <w:p w:rsidR="00AF6261" w:rsidRDefault="00EC1362">
      <w:pPr>
        <w:pStyle w:val="1"/>
        <w:spacing w:before="240" w:after="240"/>
      </w:pPr>
      <w:r>
        <w:t xml:space="preserve"> </w:t>
      </w:r>
      <w:r>
        <w:t>申报条件</w:t>
      </w:r>
    </w:p>
    <w:p w:rsidR="00AF6261" w:rsidRDefault="00EC1362">
      <w:pPr>
        <w:numPr>
          <w:ilvl w:val="0"/>
          <w:numId w:val="12"/>
        </w:numPr>
        <w:ind w:firstLine="560"/>
      </w:pPr>
      <w:r>
        <w:t>申报教学成果奖的申报人须具备以下基本条件：</w:t>
      </w:r>
    </w:p>
    <w:p w:rsidR="00AF6261" w:rsidRDefault="00EC1362">
      <w:pPr>
        <w:numPr>
          <w:ilvl w:val="0"/>
          <w:numId w:val="15"/>
        </w:numPr>
        <w:ind w:firstLineChars="0"/>
      </w:pPr>
      <w:r>
        <w:t>遵守国家教育法律法规，贯彻党的教育方针，具有良好的师德师风和职业道德，无教学事故、学术不端等不良记录。</w:t>
      </w:r>
    </w:p>
    <w:p w:rsidR="00AF6261" w:rsidRDefault="00EC1362">
      <w:pPr>
        <w:numPr>
          <w:ilvl w:val="0"/>
          <w:numId w:val="15"/>
        </w:numPr>
        <w:ind w:firstLineChars="0"/>
      </w:pPr>
      <w:r>
        <w:t>成果主要完成人应直接</w:t>
      </w:r>
      <w:r>
        <w:t>参加成果的方案设计、论证、研究和实施全过程，并</w:t>
      </w:r>
      <w:r w:rsidR="00DC6C3A">
        <w:rPr>
          <w:rFonts w:hint="eastAsia"/>
        </w:rPr>
        <w:t>做出</w:t>
      </w:r>
      <w:r>
        <w:t>主要贡献；申报</w:t>
      </w:r>
      <w:r>
        <w:rPr>
          <w:rFonts w:hint="eastAsia"/>
        </w:rPr>
        <w:t>人团队</w:t>
      </w:r>
      <w:r>
        <w:t>成员</w:t>
      </w:r>
      <w:r>
        <w:rPr>
          <w:rFonts w:hint="eastAsia"/>
        </w:rPr>
        <w:t>原则上</w:t>
      </w:r>
      <w:r>
        <w:t>不超过</w:t>
      </w:r>
      <w:r>
        <w:t>10</w:t>
      </w:r>
      <w:r>
        <w:t>人，且团队结构合理，分工明确，具有较强的协作性</w:t>
      </w:r>
      <w:r>
        <w:rPr>
          <w:rFonts w:hint="eastAsia"/>
        </w:rPr>
        <w:t>，</w:t>
      </w:r>
      <w:r>
        <w:t>其中</w:t>
      </w:r>
      <w:r>
        <w:rPr>
          <w:rFonts w:hint="eastAsia"/>
        </w:rPr>
        <w:t>校内人员</w:t>
      </w:r>
      <w:r>
        <w:t>须为在本校从事</w:t>
      </w:r>
      <w:r>
        <w:rPr>
          <w:rFonts w:hint="eastAsia"/>
        </w:rPr>
        <w:t>一线</w:t>
      </w:r>
      <w:r>
        <w:t>教学</w:t>
      </w:r>
      <w:r>
        <w:rPr>
          <w:rFonts w:hint="eastAsia"/>
        </w:rPr>
        <w:t>或</w:t>
      </w:r>
      <w:r>
        <w:t>教学管理或教学研究工作满</w:t>
      </w:r>
      <w:r>
        <w:rPr>
          <w:rFonts w:hint="eastAsia"/>
        </w:rPr>
        <w:t>2</w:t>
      </w:r>
      <w:r>
        <w:t>年及以上的在职人员。</w:t>
      </w:r>
    </w:p>
    <w:p w:rsidR="00AF6261" w:rsidRDefault="00EC1362">
      <w:pPr>
        <w:numPr>
          <w:ilvl w:val="0"/>
          <w:numId w:val="15"/>
        </w:numPr>
        <w:ind w:firstLineChars="0"/>
      </w:pPr>
      <w:r>
        <w:t>申报成果须为申报人自主研发或核心参与完成，对成果拥有合法知识产权，无产权争议；成果主要完成单位应为成果主要完成人所在单位，并在成果的方案设计、论证、研究和实践的全过程中</w:t>
      </w:r>
      <w:r w:rsidR="00DC6C3A">
        <w:rPr>
          <w:rFonts w:hint="eastAsia"/>
        </w:rPr>
        <w:t>做出</w:t>
      </w:r>
      <w:r>
        <w:t>主要贡献。成果主要完成人单位发生变化的，以成果实施过程中</w:t>
      </w:r>
      <w:r w:rsidR="00DC6C3A">
        <w:rPr>
          <w:rFonts w:hint="eastAsia"/>
        </w:rPr>
        <w:t>做出</w:t>
      </w:r>
      <w:r>
        <w:t>主要贡献的单位为准。</w:t>
      </w:r>
    </w:p>
    <w:p w:rsidR="00AF6261" w:rsidRDefault="00EC1362">
      <w:pPr>
        <w:numPr>
          <w:ilvl w:val="0"/>
          <w:numId w:val="15"/>
        </w:numPr>
        <w:ind w:firstLineChars="0"/>
      </w:pPr>
      <w:r>
        <w:t>成果由两个以上单位或个人共同完成的，</w:t>
      </w:r>
      <w:r>
        <w:t>可联合申请，联合申请时须</w:t>
      </w:r>
      <w:proofErr w:type="gramStart"/>
      <w:r>
        <w:t>明确第一</w:t>
      </w:r>
      <w:proofErr w:type="gramEnd"/>
      <w:r>
        <w:t>完成单位和第一完成人</w:t>
      </w:r>
      <w:r>
        <w:t>。</w:t>
      </w:r>
    </w:p>
    <w:p w:rsidR="00F30CA3" w:rsidRDefault="00F30CA3" w:rsidP="00F30CA3">
      <w:pPr>
        <w:numPr>
          <w:ilvl w:val="0"/>
          <w:numId w:val="15"/>
        </w:numPr>
        <w:ind w:firstLineChars="0"/>
      </w:pPr>
      <w:r w:rsidRPr="00F30CA3">
        <w:rPr>
          <w:rFonts w:hint="eastAsia"/>
        </w:rPr>
        <w:t>凡涉及全校性、跨学院或需整合全校资源的教学成果，须由校领导牵头统筹，并在教务处备案后方可申报。</w:t>
      </w:r>
    </w:p>
    <w:p w:rsidR="00AF6261" w:rsidRDefault="00EC1362">
      <w:pPr>
        <w:numPr>
          <w:ilvl w:val="0"/>
          <w:numId w:val="12"/>
        </w:numPr>
        <w:ind w:firstLine="560"/>
      </w:pPr>
      <w:r>
        <w:t>申报的教学成果须满足以下要求：</w:t>
      </w:r>
    </w:p>
    <w:p w:rsidR="00AF6261" w:rsidRDefault="00EC1362">
      <w:pPr>
        <w:numPr>
          <w:ilvl w:val="0"/>
          <w:numId w:val="16"/>
        </w:numPr>
        <w:ind w:firstLineChars="0"/>
      </w:pPr>
      <w:r>
        <w:t>导向正确。符合国家教育方针政策与时代精神，契合高等职业教育类型特征，紧扣产业需求与技术技能人才培养规律，聚焦</w:t>
      </w:r>
      <w:r>
        <w:rPr>
          <w:rFonts w:hint="eastAsia"/>
        </w:rPr>
        <w:t>“</w:t>
      </w:r>
      <w:r>
        <w:rPr>
          <w:rFonts w:hint="eastAsia"/>
        </w:rPr>
        <w:t>五金</w:t>
      </w:r>
      <w:r>
        <w:rPr>
          <w:rFonts w:hint="eastAsia"/>
        </w:rPr>
        <w:t>”</w:t>
      </w:r>
      <w:r>
        <w:rPr>
          <w:rFonts w:hint="eastAsia"/>
        </w:rPr>
        <w:t>建设、</w:t>
      </w:r>
      <w:r>
        <w:t>“</w:t>
      </w:r>
      <w:r>
        <w:t>三教</w:t>
      </w:r>
      <w:r>
        <w:t>”</w:t>
      </w:r>
      <w:r>
        <w:t>改革、产教融合、校企合作等核心方向。</w:t>
      </w:r>
    </w:p>
    <w:p w:rsidR="00AF6261" w:rsidRDefault="00EC1362">
      <w:pPr>
        <w:numPr>
          <w:ilvl w:val="0"/>
          <w:numId w:val="16"/>
        </w:numPr>
        <w:ind w:firstLineChars="0"/>
      </w:pPr>
      <w:r>
        <w:t>创新突出。在教学理念、培养模式、课程体系、教学方法、</w:t>
      </w:r>
      <w:r>
        <w:lastRenderedPageBreak/>
        <w:t>评价机制等方面有实质性突破。</w:t>
      </w:r>
    </w:p>
    <w:p w:rsidR="00AF6261" w:rsidRDefault="00EC1362">
      <w:pPr>
        <w:numPr>
          <w:ilvl w:val="0"/>
          <w:numId w:val="16"/>
        </w:numPr>
        <w:ind w:firstLineChars="0"/>
      </w:pPr>
      <w:r>
        <w:t>成效显著。经过规定年限实践检验（特等奖、一等奖不少于</w:t>
      </w:r>
      <w:r>
        <w:t>4</w:t>
      </w:r>
      <w:r>
        <w:t>年，二等奖及以下不少于</w:t>
      </w:r>
      <w:r>
        <w:t>2</w:t>
      </w:r>
      <w:r>
        <w:t>年，起始时间为正式实施教学方案之日，不含研讨论证期），在学生能力提升、教</w:t>
      </w:r>
      <w:r>
        <w:t>学质量提高、专业影响力增强等方面有可量化成效，且有充分佐证材料。</w:t>
      </w:r>
    </w:p>
    <w:p w:rsidR="00AF6261" w:rsidRDefault="00EC1362">
      <w:pPr>
        <w:numPr>
          <w:ilvl w:val="0"/>
          <w:numId w:val="16"/>
        </w:numPr>
        <w:ind w:firstLineChars="0"/>
      </w:pPr>
      <w:r>
        <w:t>推广可行。成果逻辑清晰、方法科学，形成可复制推广的经验模式，已在本校或</w:t>
      </w:r>
      <w:r w:rsidR="00F041FB">
        <w:rPr>
          <w:rFonts w:hint="eastAsia"/>
        </w:rPr>
        <w:t>其他</w:t>
      </w:r>
      <w:r>
        <w:t>院校应用。</w:t>
      </w:r>
    </w:p>
    <w:p w:rsidR="00AF6261" w:rsidRPr="00F30CA3" w:rsidRDefault="00EC1362" w:rsidP="00F30CA3">
      <w:pPr>
        <w:numPr>
          <w:ilvl w:val="0"/>
          <w:numId w:val="16"/>
        </w:numPr>
        <w:ind w:firstLineChars="0"/>
        <w:rPr>
          <w:color w:val="FF0000"/>
        </w:rPr>
      </w:pPr>
      <w:r>
        <w:t>合</w:t>
      </w:r>
      <w:proofErr w:type="gramStart"/>
      <w:r>
        <w:t>规</w:t>
      </w:r>
      <w:proofErr w:type="gramEnd"/>
      <w:r>
        <w:t>申报。</w:t>
      </w:r>
      <w:r>
        <w:rPr>
          <w:rFonts w:hint="eastAsia"/>
        </w:rPr>
        <w:t>同一成果（相同完成人或单位、</w:t>
      </w:r>
      <w:proofErr w:type="gramStart"/>
      <w:r>
        <w:rPr>
          <w:rFonts w:hint="eastAsia"/>
        </w:rPr>
        <w:t>相同成果</w:t>
      </w:r>
      <w:proofErr w:type="gramEnd"/>
      <w:r>
        <w:rPr>
          <w:rFonts w:hint="eastAsia"/>
        </w:rPr>
        <w:t>内容）不得多途径申报、拆分申报，</w:t>
      </w:r>
      <w:r>
        <w:rPr>
          <w:rFonts w:hint="eastAsia"/>
        </w:rPr>
        <w:t>一经发现按规定严肃处理。</w:t>
      </w:r>
    </w:p>
    <w:p w:rsidR="00AF6261" w:rsidRDefault="00EC1362">
      <w:pPr>
        <w:numPr>
          <w:ilvl w:val="0"/>
          <w:numId w:val="12"/>
        </w:numPr>
        <w:ind w:firstLine="560"/>
      </w:pPr>
      <w:r>
        <w:t>下列情形不得申报：</w:t>
      </w:r>
    </w:p>
    <w:p w:rsidR="00AF6261" w:rsidRDefault="00EC1362">
      <w:pPr>
        <w:numPr>
          <w:ilvl w:val="0"/>
          <w:numId w:val="17"/>
        </w:numPr>
        <w:ind w:firstLineChars="0"/>
      </w:pPr>
      <w:r>
        <w:t>仅涉及单一课程教案、课件、试题库等一般性教学资源建设，未形成系统性改革成果的</w:t>
      </w:r>
      <w:r w:rsidR="00F041FB">
        <w:rPr>
          <w:rFonts w:hint="eastAsia"/>
        </w:rPr>
        <w:t>。</w:t>
      </w:r>
    </w:p>
    <w:p w:rsidR="00AF6261" w:rsidRDefault="00EC1362">
      <w:pPr>
        <w:numPr>
          <w:ilvl w:val="0"/>
          <w:numId w:val="17"/>
        </w:numPr>
        <w:ind w:firstLineChars="0"/>
      </w:pPr>
      <w:r>
        <w:t>纯理论研究成果未应用于教学实践，或实践检验时间不足、成效不明显的</w:t>
      </w:r>
      <w:r w:rsidR="00F041FB">
        <w:rPr>
          <w:rFonts w:hint="eastAsia"/>
        </w:rPr>
        <w:t>。</w:t>
      </w:r>
    </w:p>
    <w:p w:rsidR="00AF6261" w:rsidRDefault="00EC1362">
      <w:pPr>
        <w:numPr>
          <w:ilvl w:val="0"/>
          <w:numId w:val="17"/>
        </w:numPr>
        <w:ind w:firstLineChars="0"/>
      </w:pPr>
      <w:r>
        <w:t>成果内容涉及虚假数据、伪造材料，或存在知识产权争议、师德师风问题的</w:t>
      </w:r>
      <w:r w:rsidR="00F041FB">
        <w:rPr>
          <w:rFonts w:hint="eastAsia"/>
        </w:rPr>
        <w:t>。</w:t>
      </w:r>
    </w:p>
    <w:p w:rsidR="00AF6261" w:rsidRDefault="00EC1362">
      <w:pPr>
        <w:numPr>
          <w:ilvl w:val="0"/>
          <w:numId w:val="17"/>
        </w:numPr>
        <w:ind w:firstLineChars="0"/>
      </w:pPr>
      <w:r>
        <w:t>已获得</w:t>
      </w:r>
      <w:r>
        <w:rPr>
          <w:rFonts w:hint="eastAsia"/>
        </w:rPr>
        <w:t>同级或上级</w:t>
      </w:r>
      <w:r>
        <w:t>教学成果</w:t>
      </w:r>
      <w:proofErr w:type="gramStart"/>
      <w:r>
        <w:t>奖</w:t>
      </w:r>
      <w:r>
        <w:rPr>
          <w:rFonts w:hint="eastAsia"/>
        </w:rPr>
        <w:t>进行</w:t>
      </w:r>
      <w:proofErr w:type="gramEnd"/>
      <w:r>
        <w:rPr>
          <w:rFonts w:hint="eastAsia"/>
        </w:rPr>
        <w:t>重复申报</w:t>
      </w:r>
      <w:r>
        <w:t>的</w:t>
      </w:r>
      <w:r w:rsidR="00F041FB">
        <w:rPr>
          <w:rFonts w:hint="eastAsia"/>
        </w:rPr>
        <w:t>。</w:t>
      </w:r>
    </w:p>
    <w:p w:rsidR="00AF6261" w:rsidRDefault="00EC1362">
      <w:pPr>
        <w:numPr>
          <w:ilvl w:val="0"/>
          <w:numId w:val="17"/>
        </w:numPr>
        <w:ind w:firstLineChars="0"/>
      </w:pPr>
      <w:r>
        <w:t>其他不符合国家教育政策或本办法规定的情形。</w:t>
      </w:r>
    </w:p>
    <w:p w:rsidR="00AF6261" w:rsidRDefault="00EC1362">
      <w:pPr>
        <w:pStyle w:val="1"/>
        <w:spacing w:before="240" w:after="240"/>
      </w:pPr>
      <w:r>
        <w:t xml:space="preserve"> </w:t>
      </w:r>
      <w:r>
        <w:t>申报与评审程序</w:t>
      </w:r>
    </w:p>
    <w:p w:rsidR="00AF6261" w:rsidRDefault="00EC1362">
      <w:pPr>
        <w:numPr>
          <w:ilvl w:val="0"/>
          <w:numId w:val="12"/>
        </w:numPr>
        <w:ind w:firstLine="560"/>
      </w:pPr>
      <w:r>
        <w:t>申报与评审工作安排：校级教学成果奖申报与评审每年开展一次；省级及国家级教学成果奖申报评审工作，根据上级主管部门通知要求另行组织。</w:t>
      </w:r>
    </w:p>
    <w:p w:rsidR="00AF6261" w:rsidRDefault="00EC1362">
      <w:pPr>
        <w:numPr>
          <w:ilvl w:val="0"/>
          <w:numId w:val="12"/>
        </w:numPr>
        <w:ind w:firstLine="560"/>
      </w:pPr>
      <w:r>
        <w:t>申报流程：</w:t>
      </w:r>
    </w:p>
    <w:p w:rsidR="00AF6261" w:rsidRDefault="00EC1362">
      <w:pPr>
        <w:numPr>
          <w:ilvl w:val="0"/>
          <w:numId w:val="18"/>
        </w:numPr>
        <w:ind w:firstLineChars="0"/>
      </w:pPr>
      <w:r>
        <w:t>发布通知。</w:t>
      </w:r>
      <w:r>
        <w:rPr>
          <w:rFonts w:hint="eastAsia"/>
        </w:rPr>
        <w:t>教务处</w:t>
      </w:r>
      <w:r w:rsidR="00F041FB">
        <w:t>在申报工作启动前</w:t>
      </w:r>
      <w:r>
        <w:t>发布申报通知，明确</w:t>
      </w:r>
      <w:r>
        <w:lastRenderedPageBreak/>
        <w:t>申报要求、时间节点、材料规范等。</w:t>
      </w:r>
    </w:p>
    <w:p w:rsidR="00AF6261" w:rsidRDefault="00EC1362" w:rsidP="00F30CA3">
      <w:pPr>
        <w:numPr>
          <w:ilvl w:val="0"/>
          <w:numId w:val="18"/>
        </w:numPr>
        <w:ind w:firstLineChars="0"/>
      </w:pPr>
      <w:r>
        <w:t>单位推荐。</w:t>
      </w:r>
      <w:r w:rsidR="00F30CA3" w:rsidRPr="00F30CA3">
        <w:rPr>
          <w:rFonts w:hint="eastAsia"/>
        </w:rPr>
        <w:t>各学院作为本学院教学成果奖申报工作的牵头负责单位，组织本学院教师积极申报。</w:t>
      </w:r>
      <w:r>
        <w:t>申报人填写</w:t>
      </w:r>
      <w:r>
        <w:rPr>
          <w:rFonts w:hint="eastAsia"/>
        </w:rPr>
        <w:t>各</w:t>
      </w:r>
      <w:r>
        <w:rPr>
          <w:rFonts w:hint="eastAsia"/>
        </w:rPr>
        <w:t>级</w:t>
      </w:r>
      <w:r>
        <w:t>《教学成果奖申报</w:t>
      </w:r>
      <w:r>
        <w:rPr>
          <w:rFonts w:hint="eastAsia"/>
        </w:rPr>
        <w:t>书</w:t>
      </w:r>
      <w:r>
        <w:t>》（以下简称《申报</w:t>
      </w:r>
      <w:r>
        <w:rPr>
          <w:rFonts w:hint="eastAsia"/>
        </w:rPr>
        <w:t>书</w:t>
      </w:r>
      <w:r>
        <w:t>》），并按要求准备支撑材料（包括成果总结报告、</w:t>
      </w:r>
      <w:r>
        <w:rPr>
          <w:rFonts w:hint="eastAsia"/>
        </w:rPr>
        <w:t>佐证材料</w:t>
      </w:r>
      <w:r>
        <w:t>等），提交至所在</w:t>
      </w:r>
      <w:r>
        <w:rPr>
          <w:rFonts w:hint="eastAsia"/>
        </w:rPr>
        <w:t>学院</w:t>
      </w:r>
      <w:r>
        <w:t>。各</w:t>
      </w:r>
      <w:r>
        <w:rPr>
          <w:rFonts w:hint="eastAsia"/>
        </w:rPr>
        <w:t>学院</w:t>
      </w:r>
      <w:r>
        <w:t>成立初审小组，对申报材料的完整性、真实性、规范性及成果符合度进行初审，提出推荐意见并排序后，将初审通过的申报材料统一报送</w:t>
      </w:r>
      <w:r>
        <w:rPr>
          <w:rFonts w:hint="eastAsia"/>
        </w:rPr>
        <w:t>教务处</w:t>
      </w:r>
      <w:r>
        <w:t>。</w:t>
      </w:r>
    </w:p>
    <w:p w:rsidR="00AF6261" w:rsidRDefault="00EC1362">
      <w:pPr>
        <w:numPr>
          <w:ilvl w:val="0"/>
          <w:numId w:val="18"/>
        </w:numPr>
        <w:ind w:firstLineChars="0"/>
      </w:pPr>
      <w:r>
        <w:t>材料审核。</w:t>
      </w:r>
      <w:r>
        <w:rPr>
          <w:rFonts w:hint="eastAsia"/>
        </w:rPr>
        <w:t>教务处</w:t>
      </w:r>
      <w:r>
        <w:t>对各单位报送的申报材料进行形式审核，重点核查材料完整性、签字盖章规范性、实践周期达标情况等。对材料不完整或不符合要求的，通知申报人在规定时间内补正；逾期未补正或补正后仍不符合要求的，视为放弃申报。</w:t>
      </w:r>
    </w:p>
    <w:p w:rsidR="00AF6261" w:rsidRDefault="00EC1362">
      <w:pPr>
        <w:numPr>
          <w:ilvl w:val="0"/>
          <w:numId w:val="12"/>
        </w:numPr>
        <w:ind w:firstLine="560"/>
      </w:pPr>
      <w:r>
        <w:t>评审组织：学校成立教学成果</w:t>
      </w:r>
      <w:r>
        <w:t>奖评审委员会（以下简称</w:t>
      </w:r>
      <w:r>
        <w:t>“</w:t>
      </w:r>
      <w:r>
        <w:t>评审委员会</w:t>
      </w:r>
      <w:r>
        <w:t>”</w:t>
      </w:r>
      <w:r>
        <w:t>），由学校分管教学副校长担任主任，</w:t>
      </w:r>
      <w:r>
        <w:rPr>
          <w:rFonts w:hint="eastAsia"/>
        </w:rPr>
        <w:t>教务处</w:t>
      </w:r>
      <w:r>
        <w:t>负责人担任副主任，成员包括校内</w:t>
      </w:r>
      <w:r w:rsidR="00F041FB">
        <w:rPr>
          <w:rFonts w:hint="eastAsia"/>
        </w:rPr>
        <w:t>外</w:t>
      </w:r>
      <w:r>
        <w:t>相关专业带头人和骨干教师以及行业企业专家。评审委员会成员实行回避制度，若与申报人存在亲属关系、师生关系或直接合作关系，须主动回避。</w:t>
      </w:r>
      <w:r>
        <w:rPr>
          <w:rFonts w:hint="eastAsia"/>
        </w:rPr>
        <w:t>教务处</w:t>
      </w:r>
      <w:r>
        <w:t>负责评审工作的组织协调、材料流转及日常事务。</w:t>
      </w:r>
    </w:p>
    <w:p w:rsidR="00AF6261" w:rsidRDefault="00EC1362">
      <w:pPr>
        <w:numPr>
          <w:ilvl w:val="0"/>
          <w:numId w:val="12"/>
        </w:numPr>
        <w:ind w:firstLine="560"/>
      </w:pPr>
      <w:r>
        <w:t>评审流程：</w:t>
      </w:r>
    </w:p>
    <w:p w:rsidR="00AF6261" w:rsidRDefault="00EC1362">
      <w:pPr>
        <w:numPr>
          <w:ilvl w:val="0"/>
          <w:numId w:val="19"/>
        </w:numPr>
        <w:ind w:firstLine="560"/>
      </w:pPr>
      <w:r>
        <w:t>评审。评审委员会依据本办法中成果核心要求，结合各</w:t>
      </w:r>
      <w:r>
        <w:rPr>
          <w:rFonts w:hint="eastAsia"/>
        </w:rPr>
        <w:t>学院</w:t>
      </w:r>
      <w:r>
        <w:t>初审意见，通过查阅材料、集体评议等方式，对申报成果进行量化打分和综合评价；必要时可要求申报人进行现场答辩，确定</w:t>
      </w:r>
      <w:r>
        <w:rPr>
          <w:rFonts w:hint="eastAsia"/>
        </w:rPr>
        <w:t>拟推荐获奖名单</w:t>
      </w:r>
      <w:r>
        <w:t>。</w:t>
      </w:r>
    </w:p>
    <w:p w:rsidR="00AF6261" w:rsidRDefault="00EC1362">
      <w:pPr>
        <w:numPr>
          <w:ilvl w:val="0"/>
          <w:numId w:val="19"/>
        </w:numPr>
        <w:ind w:firstLine="560"/>
      </w:pPr>
      <w:r>
        <w:t>公示。</w:t>
      </w:r>
      <w:r w:rsidR="00065B65">
        <w:rPr>
          <w:rFonts w:hint="eastAsia"/>
        </w:rPr>
        <w:t>对</w:t>
      </w:r>
      <w:r>
        <w:rPr>
          <w:rFonts w:hint="eastAsia"/>
        </w:rPr>
        <w:t>拟推荐获奖名单</w:t>
      </w:r>
      <w:r w:rsidR="00065B65">
        <w:rPr>
          <w:rFonts w:hint="eastAsia"/>
        </w:rPr>
        <w:t>进行</w:t>
      </w:r>
      <w:r>
        <w:t>公示。公示期间，任何单位或个人对拟</w:t>
      </w:r>
      <w:r>
        <w:rPr>
          <w:rFonts w:hint="eastAsia"/>
        </w:rPr>
        <w:t>推荐</w:t>
      </w:r>
      <w:r>
        <w:t>获奖成果有异议的，可以书面形式向</w:t>
      </w:r>
      <w:r>
        <w:rPr>
          <w:rFonts w:hint="eastAsia"/>
        </w:rPr>
        <w:t>教务处</w:t>
      </w:r>
      <w:r>
        <w:t>提出，并</w:t>
      </w:r>
      <w:r>
        <w:lastRenderedPageBreak/>
        <w:t>提供</w:t>
      </w:r>
      <w:r>
        <w:rPr>
          <w:rFonts w:hint="eastAsia"/>
        </w:rPr>
        <w:t>本人</w:t>
      </w:r>
      <w:r>
        <w:t>姓名、联系方式及必要的佐证材料；单位提出异议的，须加盖单位公章。</w:t>
      </w:r>
    </w:p>
    <w:p w:rsidR="00AF6261" w:rsidRDefault="00EC1362">
      <w:pPr>
        <w:numPr>
          <w:ilvl w:val="0"/>
          <w:numId w:val="19"/>
        </w:numPr>
        <w:ind w:firstLine="560"/>
      </w:pPr>
      <w:r>
        <w:t>异议处理。</w:t>
      </w:r>
      <w:r>
        <w:rPr>
          <w:rFonts w:hint="eastAsia"/>
        </w:rPr>
        <w:t>教务处</w:t>
      </w:r>
      <w:r>
        <w:t>在收到异议后，会同相关单位及评审委员会进行调查核实，在公示期结束后</w:t>
      </w:r>
      <w:r>
        <w:rPr>
          <w:rFonts w:hint="eastAsia"/>
        </w:rPr>
        <w:t>3</w:t>
      </w:r>
      <w:r>
        <w:t>个工作日内形成处理意见并反馈异议人。经核实确有问题的成果，取消其获奖资格；异议不成立的，维持原评审结果。</w:t>
      </w:r>
    </w:p>
    <w:p w:rsidR="00AF6261" w:rsidRDefault="00EC1362">
      <w:pPr>
        <w:numPr>
          <w:ilvl w:val="0"/>
          <w:numId w:val="19"/>
        </w:numPr>
        <w:ind w:firstLine="560"/>
      </w:pPr>
      <w:r>
        <w:t>公布</w:t>
      </w:r>
      <w:r>
        <w:rPr>
          <w:rFonts w:hint="eastAsia"/>
        </w:rPr>
        <w:t>及推荐</w:t>
      </w:r>
      <w:r>
        <w:t>。</w:t>
      </w:r>
      <w:r>
        <w:rPr>
          <w:rFonts w:hint="eastAsia"/>
        </w:rPr>
        <w:t>校级教学成果奖</w:t>
      </w:r>
      <w:r>
        <w:t>公示无异议或异议处理完毕后，</w:t>
      </w:r>
      <w:r>
        <w:rPr>
          <w:rFonts w:hint="eastAsia"/>
        </w:rPr>
        <w:t>学校</w:t>
      </w:r>
      <w:r>
        <w:t>发文公布获奖名单</w:t>
      </w:r>
      <w:r>
        <w:rPr>
          <w:rFonts w:hint="eastAsia"/>
        </w:rPr>
        <w:t>；</w:t>
      </w:r>
      <w:r>
        <w:rPr>
          <w:rFonts w:hint="eastAsia"/>
        </w:rPr>
        <w:t>省级及以上教学成果奖</w:t>
      </w:r>
      <w:r>
        <w:t>公示无异议或异议处理完毕后，</w:t>
      </w:r>
      <w:r>
        <w:rPr>
          <w:rFonts w:hint="eastAsia"/>
        </w:rPr>
        <w:t>由教务处按上</w:t>
      </w:r>
      <w:r>
        <w:rPr>
          <w:rFonts w:hint="eastAsia"/>
        </w:rPr>
        <w:t>级主管部门通知要求报送推荐获奖名单</w:t>
      </w:r>
      <w:r>
        <w:t>。</w:t>
      </w:r>
    </w:p>
    <w:p w:rsidR="00AF6261" w:rsidRDefault="00EC1362">
      <w:pPr>
        <w:pStyle w:val="1"/>
        <w:spacing w:before="240" w:after="240"/>
      </w:pPr>
      <w:r>
        <w:t xml:space="preserve"> </w:t>
      </w:r>
      <w:r>
        <w:t>奖励设置与管理</w:t>
      </w:r>
    </w:p>
    <w:p w:rsidR="00AF6261" w:rsidRDefault="00EC1362">
      <w:pPr>
        <w:numPr>
          <w:ilvl w:val="0"/>
          <w:numId w:val="12"/>
        </w:numPr>
        <w:ind w:firstLine="560"/>
      </w:pPr>
      <w:r>
        <w:rPr>
          <w:rFonts w:hint="eastAsia"/>
        </w:rPr>
        <w:t>校级</w:t>
      </w:r>
      <w:r>
        <w:t>教学成果奖设特等奖、一等奖、二等奖</w:t>
      </w:r>
      <w:r w:rsidR="00F30CA3">
        <w:t>三</w:t>
      </w:r>
      <w:r w:rsidR="00F30CA3">
        <w:rPr>
          <w:rFonts w:hint="eastAsia"/>
        </w:rPr>
        <w:t>个</w:t>
      </w:r>
      <w:r>
        <w:t>等</w:t>
      </w:r>
      <w:r>
        <w:t>级，根据申报成果数量及质量确定各等级获奖比例，特等奖</w:t>
      </w:r>
      <w:r>
        <w:rPr>
          <w:rFonts w:hint="eastAsia"/>
        </w:rPr>
        <w:t>及</w:t>
      </w:r>
      <w:r>
        <w:t>一等奖获奖比例</w:t>
      </w:r>
      <w:r>
        <w:rPr>
          <w:rFonts w:hint="eastAsia"/>
        </w:rPr>
        <w:t>原则上</w:t>
      </w:r>
      <w:r>
        <w:t>不超过申报总数的</w:t>
      </w:r>
      <w:r>
        <w:rPr>
          <w:rFonts w:hint="eastAsia"/>
        </w:rPr>
        <w:t>25</w:t>
      </w:r>
      <w:r>
        <w:t>%</w:t>
      </w:r>
      <w:r>
        <w:t>；若申报成果整体质量未达对应等级要求，可空缺相应等级奖项。</w:t>
      </w:r>
      <w:r>
        <w:rPr>
          <w:rFonts w:hint="eastAsia"/>
        </w:rPr>
        <w:t>省级及以上</w:t>
      </w:r>
      <w:r>
        <w:t>教学成果奖</w:t>
      </w:r>
      <w:r>
        <w:rPr>
          <w:rFonts w:hint="eastAsia"/>
        </w:rPr>
        <w:t>奖项设置和数量以上级主管部门通知文件要求为准。</w:t>
      </w:r>
      <w:r>
        <w:t>各等级成果核心要求如下：</w:t>
      </w:r>
    </w:p>
    <w:p w:rsidR="00AF6261" w:rsidRDefault="00EC1362">
      <w:pPr>
        <w:numPr>
          <w:ilvl w:val="0"/>
          <w:numId w:val="20"/>
        </w:numPr>
        <w:ind w:firstLineChars="0"/>
      </w:pPr>
      <w:r>
        <w:t>特等奖：在高等职业教育教学理论上有重要创新，在职业教育教学改革实践中取得重要突破，对提高教学水平和教育质量、实现培养目标有突出贡献，在省内处于领先水平，在全国或全省（市、行业）产生重要影响。</w:t>
      </w:r>
    </w:p>
    <w:p w:rsidR="00AF6261" w:rsidRDefault="00EC1362">
      <w:pPr>
        <w:numPr>
          <w:ilvl w:val="0"/>
          <w:numId w:val="20"/>
        </w:numPr>
        <w:ind w:firstLineChars="0"/>
      </w:pPr>
      <w:r>
        <w:t>一等奖：在高等职业教育教学理论上有明确创新，对职业教育教学改革实践有重要示范作用，对提高教学水平和教育质量、实现培养目标产生重要成效，在全国或全省（市、区）产生较大影响。</w:t>
      </w:r>
    </w:p>
    <w:p w:rsidR="00AF6261" w:rsidRDefault="00EC1362">
      <w:pPr>
        <w:numPr>
          <w:ilvl w:val="0"/>
          <w:numId w:val="20"/>
        </w:numPr>
        <w:ind w:firstLineChars="0"/>
      </w:pPr>
      <w:r>
        <w:lastRenderedPageBreak/>
        <w:t>二等奖：在高等职业教育教学理论或者实践的某一方面有重要突破，对提高教学水平和教育质量、实现培养目标等方面取得显著成效。</w:t>
      </w:r>
    </w:p>
    <w:p w:rsidR="00AF6261" w:rsidRDefault="00EC1362">
      <w:pPr>
        <w:numPr>
          <w:ilvl w:val="0"/>
          <w:numId w:val="12"/>
        </w:numPr>
        <w:ind w:firstLine="560"/>
      </w:pPr>
      <w:r>
        <w:t>对获奖成果的完成单位和个人，</w:t>
      </w:r>
      <w:r>
        <w:rPr>
          <w:rFonts w:hint="eastAsia"/>
        </w:rPr>
        <w:t>根据学校相关奖励文件进行奖励</w:t>
      </w:r>
      <w:r>
        <w:t>。</w:t>
      </w:r>
    </w:p>
    <w:p w:rsidR="00AF6261" w:rsidRDefault="00EC1362">
      <w:pPr>
        <w:numPr>
          <w:ilvl w:val="0"/>
          <w:numId w:val="12"/>
        </w:numPr>
        <w:ind w:firstLine="560"/>
      </w:pPr>
      <w:r>
        <w:t>获奖成果作为职称评聘、评优评先、岗位晋升、骨干教师选拔、外出培训等工作的重要参考依据。</w:t>
      </w:r>
    </w:p>
    <w:p w:rsidR="00AF6261" w:rsidRDefault="00EC1362">
      <w:pPr>
        <w:numPr>
          <w:ilvl w:val="0"/>
          <w:numId w:val="12"/>
        </w:numPr>
        <w:ind w:firstLine="560"/>
      </w:pPr>
      <w:r>
        <w:t>学校对获奖成果的知识产权进行保护，成果完成人享有署名权、使用权等合法权益，学校享有优先推广权。未经成果完成人同意，任何单位或个人不得擅自使用、篡改获奖成果。</w:t>
      </w:r>
    </w:p>
    <w:p w:rsidR="00AF6261" w:rsidRDefault="00EC1362">
      <w:pPr>
        <w:pStyle w:val="1"/>
        <w:spacing w:before="240" w:after="240"/>
      </w:pPr>
      <w:r>
        <w:t xml:space="preserve"> </w:t>
      </w:r>
      <w:r>
        <w:t>成果推广与应用</w:t>
      </w:r>
    </w:p>
    <w:p w:rsidR="00AF6261" w:rsidRDefault="00EC1362">
      <w:pPr>
        <w:numPr>
          <w:ilvl w:val="0"/>
          <w:numId w:val="12"/>
        </w:numPr>
        <w:ind w:firstLine="560"/>
      </w:pPr>
      <w:r>
        <w:t>成果完成单位及完成人有义务配合学校开展成果推广工作，提供推广所需的材料和技术支持，积极参与推广交流活动。</w:t>
      </w:r>
    </w:p>
    <w:p w:rsidR="00AF6261" w:rsidRDefault="00EC1362">
      <w:pPr>
        <w:numPr>
          <w:ilvl w:val="0"/>
          <w:numId w:val="12"/>
        </w:numPr>
        <w:ind w:firstLine="560"/>
      </w:pPr>
      <w:r>
        <w:rPr>
          <w:rFonts w:hint="eastAsia"/>
        </w:rPr>
        <w:t>教务处</w:t>
      </w:r>
      <w:r>
        <w:t>定期对获奖成果的推广应用情况进行跟踪评估，总结推广经验，及时解决推广过程中存在的问题，确保成果发挥最大效益。</w:t>
      </w:r>
    </w:p>
    <w:p w:rsidR="00AF6261" w:rsidRDefault="00EC1362">
      <w:pPr>
        <w:pStyle w:val="1"/>
        <w:spacing w:before="240" w:after="240"/>
      </w:pPr>
      <w:r>
        <w:t xml:space="preserve"> </w:t>
      </w:r>
      <w:r>
        <w:t>责任追究</w:t>
      </w:r>
    </w:p>
    <w:p w:rsidR="00AF6261" w:rsidRDefault="00EC1362">
      <w:pPr>
        <w:numPr>
          <w:ilvl w:val="0"/>
          <w:numId w:val="12"/>
        </w:numPr>
        <w:ind w:firstLine="560"/>
      </w:pPr>
      <w:r>
        <w:t>申报人若存在提供虚假材料、伪造数据、剽窃他人成果等学术不端行为，一经查实，学校将取消其</w:t>
      </w:r>
      <w:r>
        <w:rPr>
          <w:rFonts w:hint="eastAsia"/>
        </w:rPr>
        <w:t>获奖</w:t>
      </w:r>
      <w:r>
        <w:t>资格或</w:t>
      </w:r>
      <w:r>
        <w:rPr>
          <w:rFonts w:hint="eastAsia"/>
        </w:rPr>
        <w:t>推荐</w:t>
      </w:r>
      <w:r>
        <w:t>资格，收回荣誉证书和奖金，并</w:t>
      </w:r>
      <w:r>
        <w:rPr>
          <w:rFonts w:hint="eastAsia"/>
        </w:rPr>
        <w:t>根据学校相关文件制度进行</w:t>
      </w:r>
      <w:r>
        <w:t>处理。</w:t>
      </w:r>
    </w:p>
    <w:p w:rsidR="00AF6261" w:rsidRDefault="00F30CA3">
      <w:pPr>
        <w:numPr>
          <w:ilvl w:val="0"/>
          <w:numId w:val="12"/>
        </w:numPr>
        <w:ind w:firstLine="560"/>
      </w:pPr>
      <w:r>
        <w:t>各</w:t>
      </w:r>
      <w:r w:rsidR="00EC1362">
        <w:rPr>
          <w:rFonts w:hint="eastAsia"/>
        </w:rPr>
        <w:t>学院</w:t>
      </w:r>
      <w:r w:rsidR="00EC1362">
        <w:t>若在初审推荐过程中存在审核不严、弄虚作假、徇私舞弊等行为，学校将对相关负责人及工作人员进行通报批</w:t>
      </w:r>
      <w:r w:rsidR="00EC1362">
        <w:t>评，并取消该单位当年评优评先资格。</w:t>
      </w:r>
    </w:p>
    <w:p w:rsidR="00AF6261" w:rsidRDefault="00EC1362">
      <w:pPr>
        <w:numPr>
          <w:ilvl w:val="0"/>
          <w:numId w:val="12"/>
        </w:numPr>
        <w:ind w:firstLine="560"/>
      </w:pPr>
      <w:r>
        <w:lastRenderedPageBreak/>
        <w:t>评审委员会成员若违反回避制度、泄露评审信息、利用评审职权谋取私利或有其他影响评审公平公正的行为，学校将立即终止其评审资格，通报批评；情节严重的，给予相应的纪律处分。</w:t>
      </w:r>
    </w:p>
    <w:p w:rsidR="00AF6261" w:rsidRDefault="00EC1362">
      <w:pPr>
        <w:pStyle w:val="1"/>
        <w:spacing w:before="240" w:after="240"/>
      </w:pPr>
      <w:r>
        <w:t xml:space="preserve"> </w:t>
      </w:r>
      <w:r>
        <w:t>附则</w:t>
      </w:r>
    </w:p>
    <w:p w:rsidR="00AF6261" w:rsidRDefault="00EC1362">
      <w:pPr>
        <w:numPr>
          <w:ilvl w:val="0"/>
          <w:numId w:val="12"/>
        </w:numPr>
        <w:ind w:firstLine="560"/>
      </w:pPr>
      <w:r>
        <w:t>本办法由学校</w:t>
      </w:r>
      <w:r>
        <w:rPr>
          <w:rFonts w:hint="eastAsia"/>
        </w:rPr>
        <w:t>教务处</w:t>
      </w:r>
      <w:r>
        <w:t>负责解释。</w:t>
      </w:r>
    </w:p>
    <w:p w:rsidR="00AF6261" w:rsidRDefault="00EC1362">
      <w:pPr>
        <w:numPr>
          <w:ilvl w:val="0"/>
          <w:numId w:val="12"/>
        </w:numPr>
        <w:ind w:firstLine="560"/>
      </w:pPr>
      <w:r>
        <w:t>本办法自发布之日起施行。原有相关规定与本办法不一致的，以本办法为准。</w:t>
      </w:r>
    </w:p>
    <w:sectPr w:rsidR="00AF6261">
      <w:headerReference w:type="default" r:id="rId7"/>
      <w:footerReference w:type="default" r:id="rId8"/>
      <w:pgSz w:w="11905"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1362" w:rsidRDefault="00EC1362">
      <w:pPr>
        <w:spacing w:line="240" w:lineRule="auto"/>
        <w:ind w:firstLine="560"/>
      </w:pPr>
      <w:r>
        <w:separator/>
      </w:r>
    </w:p>
  </w:endnote>
  <w:endnote w:type="continuationSeparator" w:id="0">
    <w:p w:rsidR="00EC1362" w:rsidRDefault="00EC1362">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auto"/>
    <w:pitch w:val="variable"/>
    <w:sig w:usb0="800002BF" w:usb1="38CF7CFA" w:usb2="00000016" w:usb3="00000000" w:csb0="00040001" w:csb1="00000000"/>
    <w:embedBold r:id="rId1" w:subsetted="1" w:fontKey="{2BE861B4-40B3-49B6-B763-A31B615D313C}"/>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embedRegular r:id="rId2" w:subsetted="1" w:fontKey="{2ABAFBAD-7E50-4BB7-85C3-3B7A294A05B8}"/>
  </w:font>
  <w:font w:name="Courier New">
    <w:panose1 w:val="02070309020205020404"/>
    <w:charset w:val="00"/>
    <w:family w:val="modern"/>
    <w:pitch w:val="fixed"/>
    <w:sig w:usb0="E0002E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embedRegular r:id="rId3" w:subsetted="1" w:fontKey="{4B027295-9FDF-4A46-AA31-308DE86B17DB}"/>
  </w:font>
  <w:font w:name="方正小标宋_GBK">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261" w:rsidRDefault="00AF6261">
    <w:pPr>
      <w:ind w:firstLine="5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1362" w:rsidRDefault="00EC1362">
      <w:pPr>
        <w:spacing w:line="240" w:lineRule="auto"/>
        <w:ind w:firstLine="560"/>
      </w:pPr>
      <w:r>
        <w:separator/>
      </w:r>
    </w:p>
  </w:footnote>
  <w:footnote w:type="continuationSeparator" w:id="0">
    <w:p w:rsidR="00EC1362" w:rsidRDefault="00EC1362">
      <w:pPr>
        <w:spacing w:line="240" w:lineRule="auto"/>
        <w:ind w:firstLine="5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261" w:rsidRDefault="00AF6261">
    <w:pPr>
      <w:ind w:firstLine="5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1BB6F27"/>
    <w:multiLevelType w:val="singleLevel"/>
    <w:tmpl w:val="C0D68430"/>
    <w:lvl w:ilvl="0">
      <w:start w:val="1"/>
      <w:numFmt w:val="chineseCounting"/>
      <w:suff w:val="nothing"/>
      <w:lvlText w:val="（%1）"/>
      <w:lvlJc w:val="left"/>
      <w:pPr>
        <w:ind w:left="0" w:firstLine="420"/>
      </w:pPr>
      <w:rPr>
        <w:rFonts w:hint="eastAsia"/>
        <w:color w:val="auto"/>
      </w:rPr>
    </w:lvl>
  </w:abstractNum>
  <w:abstractNum w:abstractNumId="1" w15:restartNumberingAfterBreak="0">
    <w:nsid w:val="AC3054A0"/>
    <w:multiLevelType w:val="singleLevel"/>
    <w:tmpl w:val="AC3054A0"/>
    <w:lvl w:ilvl="0">
      <w:start w:val="1"/>
      <w:numFmt w:val="chineseCounting"/>
      <w:suff w:val="nothing"/>
      <w:lvlText w:val="第%1条  "/>
      <w:lvlJc w:val="left"/>
      <w:pPr>
        <w:ind w:left="0" w:firstLine="420"/>
      </w:pPr>
      <w:rPr>
        <w:rFonts w:hint="eastAsia"/>
        <w:b/>
        <w:bCs/>
      </w:rPr>
    </w:lvl>
  </w:abstractNum>
  <w:abstractNum w:abstractNumId="2" w15:restartNumberingAfterBreak="0">
    <w:nsid w:val="AF071053"/>
    <w:multiLevelType w:val="multilevel"/>
    <w:tmpl w:val="AF071053"/>
    <w:lvl w:ilvl="0">
      <w:start w:val="1"/>
      <w:numFmt w:val="decimal"/>
      <w:lvlText w:val="%1."/>
      <w:lvlJc w:val="left"/>
      <w:pPr>
        <w:ind w:left="425" w:hanging="425"/>
      </w:pPr>
      <w:rPr>
        <w:rFonts w:hint="default"/>
      </w:rPr>
    </w:lvl>
    <w:lvl w:ilvl="1">
      <w:start w:val="1"/>
      <w:numFmt w:val="decimal"/>
      <w:pStyle w:val="2"/>
      <w:lvlText w:val="%1.%2."/>
      <w:lvlJc w:val="left"/>
      <w:pPr>
        <w:ind w:left="850" w:hanging="453"/>
      </w:pPr>
    </w:lvl>
    <w:lvl w:ilvl="2">
      <w:start w:val="1"/>
      <w:numFmt w:val="decimal"/>
      <w:lvlText w:val="%1.%2.%3."/>
      <w:lvlJc w:val="left"/>
      <w:pPr>
        <w:ind w:left="1508" w:hanging="708"/>
      </w:pPr>
      <w:rPr>
        <w:rFonts w:hint="default"/>
      </w:rPr>
    </w:lvl>
    <w:lvl w:ilvl="3">
      <w:start w:val="1"/>
      <w:numFmt w:val="decimal"/>
      <w:lvlText w:val="%1.%2.%3.%4."/>
      <w:lvlJc w:val="left"/>
      <w:pPr>
        <w:ind w:left="2053" w:hanging="853"/>
      </w:pPr>
      <w:rPr>
        <w:rFonts w:hint="default"/>
      </w:rPr>
    </w:lvl>
    <w:lvl w:ilvl="4">
      <w:start w:val="1"/>
      <w:numFmt w:val="decimal"/>
      <w:lvlText w:val="%1.%2.%3.%4.%5."/>
      <w:lvlJc w:val="left"/>
      <w:pPr>
        <w:ind w:left="2495" w:hanging="895"/>
      </w:pPr>
      <w:rPr>
        <w:rFonts w:hint="default"/>
      </w:rPr>
    </w:lvl>
    <w:lvl w:ilvl="5">
      <w:start w:val="1"/>
      <w:numFmt w:val="decimal"/>
      <w:lvlText w:val="%1.%2.%3.%4.%5.%6."/>
      <w:lvlJc w:val="left"/>
      <w:pPr>
        <w:ind w:left="3136" w:hanging="1136"/>
      </w:pPr>
      <w:rPr>
        <w:rFonts w:hint="default"/>
      </w:rPr>
    </w:lvl>
    <w:lvl w:ilvl="6">
      <w:start w:val="1"/>
      <w:numFmt w:val="decimal"/>
      <w:lvlText w:val="%1.%2.%3.%4.%5.%6.%7."/>
      <w:lvlJc w:val="left"/>
      <w:pPr>
        <w:ind w:left="3673" w:hanging="1273"/>
      </w:pPr>
      <w:rPr>
        <w:rFonts w:hint="default"/>
      </w:rPr>
    </w:lvl>
    <w:lvl w:ilvl="7">
      <w:start w:val="1"/>
      <w:numFmt w:val="decimal"/>
      <w:lvlText w:val="%1.%2.%3.%4.%5.%6.%7.%8."/>
      <w:lvlJc w:val="left"/>
      <w:pPr>
        <w:ind w:left="4218" w:hanging="1418"/>
      </w:pPr>
      <w:rPr>
        <w:rFonts w:hint="default"/>
      </w:rPr>
    </w:lvl>
    <w:lvl w:ilvl="8">
      <w:start w:val="1"/>
      <w:numFmt w:val="decimal"/>
      <w:lvlText w:val="%1.%2.%3.%4.%5.%6.%7.%8.%9."/>
      <w:lvlJc w:val="left"/>
      <w:pPr>
        <w:ind w:left="4648" w:hanging="1448"/>
      </w:pPr>
      <w:rPr>
        <w:rFonts w:hint="default"/>
      </w:rPr>
    </w:lvl>
  </w:abstractNum>
  <w:abstractNum w:abstractNumId="3" w15:restartNumberingAfterBreak="0">
    <w:nsid w:val="B2637A3F"/>
    <w:multiLevelType w:val="singleLevel"/>
    <w:tmpl w:val="B2637A3F"/>
    <w:lvl w:ilvl="0">
      <w:start w:val="1"/>
      <w:numFmt w:val="bullet"/>
      <w:pStyle w:val="20"/>
      <w:suff w:val="space"/>
      <w:lvlText w:val="■"/>
      <w:lvlJc w:val="left"/>
      <w:pPr>
        <w:tabs>
          <w:tab w:val="left" w:pos="420"/>
        </w:tabs>
        <w:ind w:left="420" w:hanging="420"/>
      </w:pPr>
    </w:lvl>
  </w:abstractNum>
  <w:abstractNum w:abstractNumId="4" w15:restartNumberingAfterBreak="0">
    <w:nsid w:val="B917F9B5"/>
    <w:multiLevelType w:val="singleLevel"/>
    <w:tmpl w:val="B917F9B5"/>
    <w:lvl w:ilvl="0">
      <w:start w:val="1"/>
      <w:numFmt w:val="chineseCounting"/>
      <w:suff w:val="nothing"/>
      <w:lvlText w:val="（%1）"/>
      <w:lvlJc w:val="left"/>
      <w:pPr>
        <w:ind w:left="0" w:firstLine="420"/>
      </w:pPr>
      <w:rPr>
        <w:rFonts w:hint="eastAsia"/>
      </w:rPr>
    </w:lvl>
  </w:abstractNum>
  <w:abstractNum w:abstractNumId="5" w15:restartNumberingAfterBreak="0">
    <w:nsid w:val="BCBDD4B5"/>
    <w:multiLevelType w:val="singleLevel"/>
    <w:tmpl w:val="BCBDD4B5"/>
    <w:lvl w:ilvl="0">
      <w:start w:val="1"/>
      <w:numFmt w:val="chineseCounting"/>
      <w:suff w:val="nothing"/>
      <w:lvlText w:val="（%1）"/>
      <w:lvlJc w:val="left"/>
      <w:pPr>
        <w:ind w:left="0" w:firstLine="420"/>
      </w:pPr>
      <w:rPr>
        <w:rFonts w:hint="eastAsia"/>
      </w:rPr>
    </w:lvl>
  </w:abstractNum>
  <w:abstractNum w:abstractNumId="6" w15:restartNumberingAfterBreak="0">
    <w:nsid w:val="C82E369F"/>
    <w:multiLevelType w:val="singleLevel"/>
    <w:tmpl w:val="C82E369F"/>
    <w:lvl w:ilvl="0">
      <w:start w:val="1"/>
      <w:numFmt w:val="chineseCounting"/>
      <w:suff w:val="nothing"/>
      <w:lvlText w:val="（%1）"/>
      <w:lvlJc w:val="left"/>
      <w:pPr>
        <w:ind w:left="0" w:firstLine="420"/>
      </w:pPr>
      <w:rPr>
        <w:rFonts w:hint="eastAsia"/>
      </w:rPr>
    </w:lvl>
  </w:abstractNum>
  <w:abstractNum w:abstractNumId="7" w15:restartNumberingAfterBreak="0">
    <w:nsid w:val="D14CACD2"/>
    <w:multiLevelType w:val="singleLevel"/>
    <w:tmpl w:val="D14CACD2"/>
    <w:lvl w:ilvl="0">
      <w:start w:val="1"/>
      <w:numFmt w:val="bullet"/>
      <w:pStyle w:val="5"/>
      <w:lvlText w:val="∙"/>
      <w:lvlJc w:val="left"/>
      <w:pPr>
        <w:ind w:left="420" w:hanging="420"/>
      </w:pPr>
    </w:lvl>
  </w:abstractNum>
  <w:abstractNum w:abstractNumId="8" w15:restartNumberingAfterBreak="0">
    <w:nsid w:val="FC35626E"/>
    <w:multiLevelType w:val="multilevel"/>
    <w:tmpl w:val="FC35626E"/>
    <w:lvl w:ilvl="0">
      <w:start w:val="1"/>
      <w:numFmt w:val="decimal"/>
      <w:pStyle w:val="a"/>
      <w:lvlText w:val="%1."/>
      <w:lvlJc w:val="left"/>
      <w:pPr>
        <w:ind w:left="425" w:hanging="425"/>
      </w:pPr>
    </w:lvl>
    <w:lvl w:ilvl="1">
      <w:start w:val="1"/>
      <w:numFmt w:val="decimal"/>
      <w:lvlText w:val="%1.%2."/>
      <w:lvlJc w:val="left"/>
      <w:pPr>
        <w:ind w:left="850" w:hanging="453"/>
      </w:pPr>
      <w:rPr>
        <w:rFonts w:hint="default"/>
      </w:rPr>
    </w:lvl>
    <w:lvl w:ilvl="2">
      <w:start w:val="1"/>
      <w:numFmt w:val="decimal"/>
      <w:lvlText w:val="%1.%2.%3."/>
      <w:lvlJc w:val="left"/>
      <w:pPr>
        <w:ind w:left="1508" w:hanging="708"/>
      </w:pPr>
      <w:rPr>
        <w:rFonts w:hint="default"/>
      </w:rPr>
    </w:lvl>
    <w:lvl w:ilvl="3">
      <w:start w:val="1"/>
      <w:numFmt w:val="decimal"/>
      <w:lvlText w:val="%1.%2.%3.%4."/>
      <w:lvlJc w:val="left"/>
      <w:pPr>
        <w:ind w:left="2053" w:hanging="853"/>
      </w:pPr>
      <w:rPr>
        <w:rFonts w:hint="default"/>
      </w:rPr>
    </w:lvl>
    <w:lvl w:ilvl="4">
      <w:start w:val="1"/>
      <w:numFmt w:val="decimal"/>
      <w:lvlText w:val="%1.%2.%3.%4.%5."/>
      <w:lvlJc w:val="left"/>
      <w:pPr>
        <w:ind w:left="2495" w:hanging="895"/>
      </w:pPr>
      <w:rPr>
        <w:rFonts w:hint="default"/>
      </w:rPr>
    </w:lvl>
    <w:lvl w:ilvl="5">
      <w:start w:val="1"/>
      <w:numFmt w:val="decimal"/>
      <w:lvlText w:val="%1.%2.%3.%4.%5.%6."/>
      <w:lvlJc w:val="left"/>
      <w:pPr>
        <w:ind w:left="3136" w:hanging="1136"/>
      </w:pPr>
      <w:rPr>
        <w:rFonts w:hint="default"/>
      </w:rPr>
    </w:lvl>
    <w:lvl w:ilvl="6">
      <w:start w:val="1"/>
      <w:numFmt w:val="decimal"/>
      <w:lvlText w:val="%1.%2.%3.%4.%5.%6.%7."/>
      <w:lvlJc w:val="left"/>
      <w:pPr>
        <w:ind w:left="3673" w:hanging="1273"/>
      </w:pPr>
      <w:rPr>
        <w:rFonts w:hint="default"/>
      </w:rPr>
    </w:lvl>
    <w:lvl w:ilvl="7">
      <w:start w:val="1"/>
      <w:numFmt w:val="decimal"/>
      <w:lvlText w:val="%1.%2.%3.%4.%5.%6.%7.%8."/>
      <w:lvlJc w:val="left"/>
      <w:pPr>
        <w:ind w:left="4218" w:hanging="1418"/>
      </w:pPr>
      <w:rPr>
        <w:rFonts w:hint="default"/>
      </w:rPr>
    </w:lvl>
    <w:lvl w:ilvl="8">
      <w:start w:val="1"/>
      <w:numFmt w:val="decimal"/>
      <w:lvlText w:val="%1.%2.%3.%4.%5.%6.%7.%8.%9."/>
      <w:lvlJc w:val="left"/>
      <w:pPr>
        <w:ind w:left="4648" w:hanging="1448"/>
      </w:pPr>
      <w:rPr>
        <w:rFonts w:hint="default"/>
      </w:rPr>
    </w:lvl>
  </w:abstractNum>
  <w:abstractNum w:abstractNumId="9" w15:restartNumberingAfterBreak="0">
    <w:nsid w:val="FD010157"/>
    <w:multiLevelType w:val="singleLevel"/>
    <w:tmpl w:val="FD010157"/>
    <w:lvl w:ilvl="0">
      <w:start w:val="1"/>
      <w:numFmt w:val="bullet"/>
      <w:pStyle w:val="3"/>
      <w:lvlText w:val="□"/>
      <w:lvlJc w:val="left"/>
      <w:pPr>
        <w:ind w:left="420" w:hanging="420"/>
      </w:pPr>
    </w:lvl>
  </w:abstractNum>
  <w:abstractNum w:abstractNumId="10" w15:restartNumberingAfterBreak="0">
    <w:nsid w:val="FE701201"/>
    <w:multiLevelType w:val="singleLevel"/>
    <w:tmpl w:val="FE701201"/>
    <w:lvl w:ilvl="0">
      <w:start w:val="1"/>
      <w:numFmt w:val="chineseCounting"/>
      <w:suff w:val="nothing"/>
      <w:lvlText w:val="（%1）"/>
      <w:lvlJc w:val="left"/>
      <w:pPr>
        <w:ind w:left="0" w:firstLine="420"/>
      </w:pPr>
      <w:rPr>
        <w:rFonts w:hint="eastAsia"/>
      </w:rPr>
    </w:lvl>
  </w:abstractNum>
  <w:abstractNum w:abstractNumId="11" w15:restartNumberingAfterBreak="0">
    <w:nsid w:val="0A053101"/>
    <w:multiLevelType w:val="singleLevel"/>
    <w:tmpl w:val="0A053101"/>
    <w:lvl w:ilvl="0">
      <w:start w:val="1"/>
      <w:numFmt w:val="chineseCounting"/>
      <w:suff w:val="nothing"/>
      <w:lvlText w:val="（%1）"/>
      <w:lvlJc w:val="left"/>
      <w:pPr>
        <w:ind w:left="0" w:firstLine="420"/>
      </w:pPr>
      <w:rPr>
        <w:rFonts w:hint="eastAsia"/>
      </w:rPr>
    </w:lvl>
  </w:abstractNum>
  <w:abstractNum w:abstractNumId="12" w15:restartNumberingAfterBreak="0">
    <w:nsid w:val="1DC13C4D"/>
    <w:multiLevelType w:val="multilevel"/>
    <w:tmpl w:val="1DC13C4D"/>
    <w:lvl w:ilvl="0">
      <w:start w:val="1"/>
      <w:numFmt w:val="decimal"/>
      <w:lvlText w:val="%1."/>
      <w:lvlJc w:val="left"/>
      <w:pPr>
        <w:ind w:left="425" w:hanging="425"/>
      </w:pPr>
      <w:rPr>
        <w:rFonts w:hint="default"/>
      </w:rPr>
    </w:lvl>
    <w:lvl w:ilvl="1">
      <w:start w:val="1"/>
      <w:numFmt w:val="decimal"/>
      <w:lvlText w:val="%1.%2."/>
      <w:lvlJc w:val="left"/>
      <w:pPr>
        <w:ind w:left="850" w:hanging="453"/>
      </w:pPr>
      <w:rPr>
        <w:rFonts w:hint="default"/>
      </w:rPr>
    </w:lvl>
    <w:lvl w:ilvl="2">
      <w:start w:val="1"/>
      <w:numFmt w:val="decimal"/>
      <w:pStyle w:val="30"/>
      <w:lvlText w:val="%1.%2.%3."/>
      <w:lvlJc w:val="left"/>
      <w:pPr>
        <w:ind w:left="1508" w:hanging="708"/>
      </w:pPr>
    </w:lvl>
    <w:lvl w:ilvl="3">
      <w:start w:val="1"/>
      <w:numFmt w:val="decimal"/>
      <w:lvlText w:val="%1.%2.%3.%4."/>
      <w:lvlJc w:val="left"/>
      <w:pPr>
        <w:ind w:left="2053" w:hanging="853"/>
      </w:pPr>
      <w:rPr>
        <w:rFonts w:hint="default"/>
      </w:rPr>
    </w:lvl>
    <w:lvl w:ilvl="4">
      <w:start w:val="1"/>
      <w:numFmt w:val="decimal"/>
      <w:lvlText w:val="%1.%2.%3.%4.%5."/>
      <w:lvlJc w:val="left"/>
      <w:pPr>
        <w:ind w:left="2495" w:hanging="895"/>
      </w:pPr>
      <w:rPr>
        <w:rFonts w:hint="default"/>
      </w:rPr>
    </w:lvl>
    <w:lvl w:ilvl="5">
      <w:start w:val="1"/>
      <w:numFmt w:val="decimal"/>
      <w:lvlText w:val="%1.%2.%3.%4.%5.%6."/>
      <w:lvlJc w:val="left"/>
      <w:pPr>
        <w:ind w:left="3136" w:hanging="1136"/>
      </w:pPr>
      <w:rPr>
        <w:rFonts w:hint="default"/>
      </w:rPr>
    </w:lvl>
    <w:lvl w:ilvl="6">
      <w:start w:val="1"/>
      <w:numFmt w:val="decimal"/>
      <w:lvlText w:val="%1.%2.%3.%4.%5.%6.%7."/>
      <w:lvlJc w:val="left"/>
      <w:pPr>
        <w:ind w:left="3673" w:hanging="1273"/>
      </w:pPr>
      <w:rPr>
        <w:rFonts w:hint="default"/>
      </w:rPr>
    </w:lvl>
    <w:lvl w:ilvl="7">
      <w:start w:val="1"/>
      <w:numFmt w:val="decimal"/>
      <w:lvlText w:val="%1.%2.%3.%4.%5.%6.%7.%8."/>
      <w:lvlJc w:val="left"/>
      <w:pPr>
        <w:ind w:left="4218" w:hanging="1418"/>
      </w:pPr>
      <w:rPr>
        <w:rFonts w:hint="default"/>
      </w:rPr>
    </w:lvl>
    <w:lvl w:ilvl="8">
      <w:start w:val="1"/>
      <w:numFmt w:val="decimal"/>
      <w:lvlText w:val="%1.%2.%3.%4.%5.%6.%7.%8.%9."/>
      <w:lvlJc w:val="left"/>
      <w:pPr>
        <w:ind w:left="4648" w:hanging="1448"/>
      </w:pPr>
      <w:rPr>
        <w:rFonts w:hint="default"/>
      </w:rPr>
    </w:lvl>
  </w:abstractNum>
  <w:abstractNum w:abstractNumId="13" w15:restartNumberingAfterBreak="0">
    <w:nsid w:val="20397F5C"/>
    <w:multiLevelType w:val="multilevel"/>
    <w:tmpl w:val="20397F5C"/>
    <w:lvl w:ilvl="0">
      <w:start w:val="1"/>
      <w:numFmt w:val="decimal"/>
      <w:lvlText w:val="%1."/>
      <w:lvlJc w:val="left"/>
      <w:pPr>
        <w:ind w:left="425" w:hanging="425"/>
      </w:pPr>
      <w:rPr>
        <w:rFonts w:hint="default"/>
      </w:rPr>
    </w:lvl>
    <w:lvl w:ilvl="1">
      <w:start w:val="1"/>
      <w:numFmt w:val="decimal"/>
      <w:lvlText w:val="%1.%2."/>
      <w:lvlJc w:val="left"/>
      <w:pPr>
        <w:ind w:left="850" w:hanging="453"/>
      </w:pPr>
      <w:rPr>
        <w:rFonts w:hint="default"/>
      </w:rPr>
    </w:lvl>
    <w:lvl w:ilvl="2">
      <w:start w:val="1"/>
      <w:numFmt w:val="decimal"/>
      <w:lvlText w:val="%1.%2.%3."/>
      <w:lvlJc w:val="left"/>
      <w:pPr>
        <w:ind w:left="1508" w:hanging="708"/>
      </w:pPr>
      <w:rPr>
        <w:rFonts w:hint="default"/>
      </w:rPr>
    </w:lvl>
    <w:lvl w:ilvl="3">
      <w:start w:val="1"/>
      <w:numFmt w:val="decimal"/>
      <w:lvlText w:val="%1.%2.%3.%4."/>
      <w:lvlJc w:val="left"/>
      <w:pPr>
        <w:ind w:left="2053" w:hanging="853"/>
      </w:pPr>
      <w:rPr>
        <w:rFonts w:hint="default"/>
      </w:rPr>
    </w:lvl>
    <w:lvl w:ilvl="4">
      <w:start w:val="1"/>
      <w:numFmt w:val="decimal"/>
      <w:pStyle w:val="50"/>
      <w:lvlText w:val="%1.%2.%3.%4.%5."/>
      <w:lvlJc w:val="left"/>
      <w:pPr>
        <w:ind w:left="2495" w:hanging="895"/>
      </w:pPr>
    </w:lvl>
    <w:lvl w:ilvl="5">
      <w:start w:val="1"/>
      <w:numFmt w:val="decimal"/>
      <w:lvlText w:val="%1.%2.%3.%4.%5.%6."/>
      <w:lvlJc w:val="left"/>
      <w:pPr>
        <w:ind w:left="3136" w:hanging="1136"/>
      </w:pPr>
      <w:rPr>
        <w:rFonts w:hint="default"/>
      </w:rPr>
    </w:lvl>
    <w:lvl w:ilvl="6">
      <w:start w:val="1"/>
      <w:numFmt w:val="decimal"/>
      <w:lvlText w:val="%1.%2.%3.%4.%5.%6.%7."/>
      <w:lvlJc w:val="left"/>
      <w:pPr>
        <w:ind w:left="3673" w:hanging="1273"/>
      </w:pPr>
      <w:rPr>
        <w:rFonts w:hint="default"/>
      </w:rPr>
    </w:lvl>
    <w:lvl w:ilvl="7">
      <w:start w:val="1"/>
      <w:numFmt w:val="decimal"/>
      <w:lvlText w:val="%1.%2.%3.%4.%5.%6.%7.%8."/>
      <w:lvlJc w:val="left"/>
      <w:pPr>
        <w:ind w:left="4218" w:hanging="1418"/>
      </w:pPr>
      <w:rPr>
        <w:rFonts w:hint="default"/>
      </w:rPr>
    </w:lvl>
    <w:lvl w:ilvl="8">
      <w:start w:val="1"/>
      <w:numFmt w:val="decimal"/>
      <w:lvlText w:val="%1.%2.%3.%4.%5.%6.%7.%8.%9."/>
      <w:lvlJc w:val="left"/>
      <w:pPr>
        <w:ind w:left="4648" w:hanging="1448"/>
      </w:pPr>
      <w:rPr>
        <w:rFonts w:hint="default"/>
      </w:rPr>
    </w:lvl>
  </w:abstractNum>
  <w:abstractNum w:abstractNumId="14" w15:restartNumberingAfterBreak="0">
    <w:nsid w:val="21589717"/>
    <w:multiLevelType w:val="multilevel"/>
    <w:tmpl w:val="21589717"/>
    <w:lvl w:ilvl="0">
      <w:start w:val="1"/>
      <w:numFmt w:val="chineseCounting"/>
      <w:pStyle w:val="1"/>
      <w:suff w:val="nothing"/>
      <w:lvlText w:val="第%1章 "/>
      <w:lvlJc w:val="left"/>
      <w:pPr>
        <w:tabs>
          <w:tab w:val="left" w:pos="0"/>
        </w:tabs>
        <w:ind w:left="0" w:firstLine="0"/>
      </w:pPr>
      <w:rPr>
        <w:rFonts w:ascii="黑体" w:eastAsia="黑体" w:hAnsi="黑体" w:hint="eastAsia"/>
      </w:rPr>
    </w:lvl>
    <w:lvl w:ilvl="1">
      <w:start w:val="1"/>
      <w:numFmt w:val="chineseCounting"/>
      <w:pStyle w:val="21"/>
      <w:suff w:val="space"/>
      <w:lvlText w:val="第%2条 "/>
      <w:lvlJc w:val="left"/>
      <w:pPr>
        <w:tabs>
          <w:tab w:val="left" w:pos="420"/>
        </w:tabs>
        <w:ind w:left="0" w:firstLine="0"/>
      </w:pPr>
      <w:rPr>
        <w:rFonts w:ascii="黑体" w:eastAsia="黑体" w:hAnsi="黑体" w:hint="eastAsia"/>
      </w:rPr>
    </w:lvl>
    <w:lvl w:ilvl="2">
      <w:start w:val="1"/>
      <w:numFmt w:val="chineseCounting"/>
      <w:pStyle w:val="31"/>
      <w:suff w:val="nothing"/>
      <w:lvlText w:val="(%3)"/>
      <w:lvlJc w:val="left"/>
      <w:pPr>
        <w:tabs>
          <w:tab w:val="left" w:pos="420"/>
        </w:tabs>
        <w:ind w:left="0" w:firstLine="0"/>
      </w:pPr>
      <w:rPr>
        <w:rFonts w:ascii="黑体" w:eastAsia="黑体" w:hAnsi="黑体" w:cs="黑体" w:hint="eastAsia"/>
      </w:rPr>
    </w:lvl>
    <w:lvl w:ilvl="3">
      <w:start w:val="1"/>
      <w:numFmt w:val="decimal"/>
      <w:pStyle w:val="4"/>
      <w:suff w:val="nothing"/>
      <w:lvlText w:val="（%4）"/>
      <w:lvlJc w:val="left"/>
      <w:pPr>
        <w:tabs>
          <w:tab w:val="left" w:pos="420"/>
        </w:tabs>
        <w:ind w:left="0" w:firstLine="0"/>
      </w:pPr>
      <w:rPr>
        <w:rFonts w:ascii="黑体" w:eastAsia="黑体" w:hAnsi="黑体" w:hint="eastAsia"/>
      </w:rPr>
    </w:lvl>
    <w:lvl w:ilvl="4">
      <w:start w:val="1"/>
      <w:numFmt w:val="decimalEnclosedCircleChinese"/>
      <w:pStyle w:val="51"/>
      <w:suff w:val="space"/>
      <w:lvlText w:val="%5"/>
      <w:lvlJc w:val="left"/>
      <w:pPr>
        <w:ind w:left="0" w:firstLine="0"/>
      </w:pPr>
      <w:rPr>
        <w:rFonts w:ascii="黑体" w:eastAsia="黑体" w:hAnsi="黑体" w:hint="eastAsia"/>
      </w:rPr>
    </w:lvl>
    <w:lvl w:ilvl="5">
      <w:start w:val="1"/>
      <w:numFmt w:val="decimal"/>
      <w:pStyle w:val="6"/>
      <w:suff w:val="nothing"/>
      <w:lvlText w:val="%6）"/>
      <w:lvlJc w:val="left"/>
      <w:pPr>
        <w:tabs>
          <w:tab w:val="left" w:pos="420"/>
        </w:tabs>
        <w:ind w:left="0" w:firstLine="0"/>
      </w:pPr>
      <w:rPr>
        <w:rFonts w:ascii="黑体" w:eastAsia="黑体" w:hAnsi="黑体" w:hint="eastAsia"/>
      </w:rPr>
    </w:lvl>
    <w:lvl w:ilvl="6">
      <w:start w:val="1"/>
      <w:numFmt w:val="lowerLetter"/>
      <w:pStyle w:val="7"/>
      <w:suff w:val="nothing"/>
      <w:lvlText w:val="%7．"/>
      <w:lvlJc w:val="left"/>
      <w:pPr>
        <w:tabs>
          <w:tab w:val="left" w:pos="420"/>
        </w:tabs>
        <w:ind w:left="0" w:firstLine="0"/>
      </w:pPr>
      <w:rPr>
        <w:rFonts w:ascii="黑体" w:eastAsia="黑体" w:hAnsi="黑体" w:hint="eastAsia"/>
      </w:rPr>
    </w:lvl>
    <w:lvl w:ilvl="7">
      <w:start w:val="1"/>
      <w:numFmt w:val="lowerLetter"/>
      <w:pStyle w:val="8"/>
      <w:suff w:val="nothing"/>
      <w:lvlText w:val="%8）"/>
      <w:lvlJc w:val="left"/>
      <w:pPr>
        <w:tabs>
          <w:tab w:val="left" w:pos="420"/>
        </w:tabs>
        <w:ind w:left="0" w:firstLine="0"/>
      </w:pPr>
      <w:rPr>
        <w:rFonts w:ascii="黑体" w:eastAsia="黑体" w:hAnsi="黑体" w:hint="eastAsia"/>
      </w:rPr>
    </w:lvl>
    <w:lvl w:ilvl="8">
      <w:start w:val="1"/>
      <w:numFmt w:val="lowerRoman"/>
      <w:pStyle w:val="9"/>
      <w:suff w:val="nothing"/>
      <w:lvlText w:val="%9 "/>
      <w:lvlJc w:val="left"/>
      <w:pPr>
        <w:tabs>
          <w:tab w:val="left" w:pos="420"/>
        </w:tabs>
        <w:ind w:left="0" w:firstLine="0"/>
      </w:pPr>
      <w:rPr>
        <w:rFonts w:ascii="黑体" w:eastAsia="黑体" w:hAnsi="黑体" w:hint="eastAsia"/>
      </w:rPr>
    </w:lvl>
  </w:abstractNum>
  <w:abstractNum w:abstractNumId="15" w15:restartNumberingAfterBreak="0">
    <w:nsid w:val="50B2DDCD"/>
    <w:multiLevelType w:val="singleLevel"/>
    <w:tmpl w:val="50B2DDCD"/>
    <w:lvl w:ilvl="0">
      <w:start w:val="1"/>
      <w:numFmt w:val="bullet"/>
      <w:pStyle w:val="a0"/>
      <w:lvlText w:val=""/>
      <w:lvlJc w:val="left"/>
      <w:pPr>
        <w:ind w:left="420" w:hanging="420"/>
      </w:pPr>
    </w:lvl>
  </w:abstractNum>
  <w:abstractNum w:abstractNumId="16" w15:restartNumberingAfterBreak="0">
    <w:nsid w:val="555471F3"/>
    <w:multiLevelType w:val="singleLevel"/>
    <w:tmpl w:val="555471F3"/>
    <w:lvl w:ilvl="0">
      <w:start w:val="1"/>
      <w:numFmt w:val="decimal"/>
      <w:suff w:val="nothing"/>
      <w:lvlText w:val="%1．"/>
      <w:lvlJc w:val="left"/>
      <w:pPr>
        <w:ind w:left="0" w:firstLine="400"/>
      </w:pPr>
      <w:rPr>
        <w:rFonts w:hint="default"/>
      </w:rPr>
    </w:lvl>
  </w:abstractNum>
  <w:abstractNum w:abstractNumId="17" w15:restartNumberingAfterBreak="0">
    <w:nsid w:val="578C21FB"/>
    <w:multiLevelType w:val="singleLevel"/>
    <w:tmpl w:val="578C21FB"/>
    <w:lvl w:ilvl="0">
      <w:start w:val="1"/>
      <w:numFmt w:val="chineseCounting"/>
      <w:suff w:val="nothing"/>
      <w:lvlText w:val="（%1）"/>
      <w:lvlJc w:val="left"/>
      <w:pPr>
        <w:ind w:left="0" w:firstLine="420"/>
      </w:pPr>
      <w:rPr>
        <w:rFonts w:hint="eastAsia"/>
      </w:rPr>
    </w:lvl>
  </w:abstractNum>
  <w:abstractNum w:abstractNumId="18" w15:restartNumberingAfterBreak="0">
    <w:nsid w:val="59008784"/>
    <w:multiLevelType w:val="singleLevel"/>
    <w:tmpl w:val="59008784"/>
    <w:lvl w:ilvl="0">
      <w:start w:val="1"/>
      <w:numFmt w:val="bullet"/>
      <w:pStyle w:val="40"/>
      <w:lvlText w:val="▫"/>
      <w:lvlJc w:val="left"/>
      <w:pPr>
        <w:ind w:left="420" w:hanging="420"/>
      </w:pPr>
    </w:lvl>
  </w:abstractNum>
  <w:abstractNum w:abstractNumId="19" w15:restartNumberingAfterBreak="0">
    <w:nsid w:val="690C6B7B"/>
    <w:multiLevelType w:val="multilevel"/>
    <w:tmpl w:val="690C6B7B"/>
    <w:lvl w:ilvl="0">
      <w:start w:val="1"/>
      <w:numFmt w:val="decimal"/>
      <w:lvlText w:val="%1."/>
      <w:lvlJc w:val="left"/>
      <w:pPr>
        <w:ind w:left="425" w:hanging="425"/>
      </w:pPr>
      <w:rPr>
        <w:rFonts w:hint="default"/>
      </w:rPr>
    </w:lvl>
    <w:lvl w:ilvl="1">
      <w:start w:val="1"/>
      <w:numFmt w:val="decimal"/>
      <w:lvlText w:val="%1.%2."/>
      <w:lvlJc w:val="left"/>
      <w:pPr>
        <w:ind w:left="850" w:hanging="453"/>
      </w:pPr>
      <w:rPr>
        <w:rFonts w:hint="default"/>
      </w:rPr>
    </w:lvl>
    <w:lvl w:ilvl="2">
      <w:start w:val="1"/>
      <w:numFmt w:val="decimal"/>
      <w:lvlText w:val="%1.%2.%3."/>
      <w:lvlJc w:val="left"/>
      <w:pPr>
        <w:ind w:left="1508" w:hanging="708"/>
      </w:pPr>
      <w:rPr>
        <w:rFonts w:hint="default"/>
      </w:rPr>
    </w:lvl>
    <w:lvl w:ilvl="3">
      <w:start w:val="1"/>
      <w:numFmt w:val="decimal"/>
      <w:pStyle w:val="41"/>
      <w:lvlText w:val="%1.%2.%3.%4."/>
      <w:lvlJc w:val="left"/>
      <w:pPr>
        <w:ind w:left="2053" w:hanging="853"/>
      </w:pPr>
    </w:lvl>
    <w:lvl w:ilvl="4">
      <w:start w:val="1"/>
      <w:numFmt w:val="decimal"/>
      <w:lvlText w:val="%1.%2.%3.%4.%5."/>
      <w:lvlJc w:val="left"/>
      <w:pPr>
        <w:ind w:left="2495" w:hanging="895"/>
      </w:pPr>
      <w:rPr>
        <w:rFonts w:hint="default"/>
      </w:rPr>
    </w:lvl>
    <w:lvl w:ilvl="5">
      <w:start w:val="1"/>
      <w:numFmt w:val="decimal"/>
      <w:lvlText w:val="%1.%2.%3.%4.%5.%6."/>
      <w:lvlJc w:val="left"/>
      <w:pPr>
        <w:ind w:left="3136" w:hanging="1136"/>
      </w:pPr>
      <w:rPr>
        <w:rFonts w:hint="default"/>
      </w:rPr>
    </w:lvl>
    <w:lvl w:ilvl="6">
      <w:start w:val="1"/>
      <w:numFmt w:val="decimal"/>
      <w:lvlText w:val="%1.%2.%3.%4.%5.%6.%7."/>
      <w:lvlJc w:val="left"/>
      <w:pPr>
        <w:ind w:left="3673" w:hanging="1273"/>
      </w:pPr>
      <w:rPr>
        <w:rFonts w:hint="default"/>
      </w:rPr>
    </w:lvl>
    <w:lvl w:ilvl="7">
      <w:start w:val="1"/>
      <w:numFmt w:val="decimal"/>
      <w:lvlText w:val="%1.%2.%3.%4.%5.%6.%7.%8."/>
      <w:lvlJc w:val="left"/>
      <w:pPr>
        <w:ind w:left="4218" w:hanging="1418"/>
      </w:pPr>
      <w:rPr>
        <w:rFonts w:hint="default"/>
      </w:rPr>
    </w:lvl>
    <w:lvl w:ilvl="8">
      <w:start w:val="1"/>
      <w:numFmt w:val="decimal"/>
      <w:lvlText w:val="%1.%2.%3.%4.%5.%6.%7.%8.%9."/>
      <w:lvlJc w:val="left"/>
      <w:pPr>
        <w:ind w:left="4648" w:hanging="1448"/>
      </w:pPr>
      <w:rPr>
        <w:rFonts w:hint="default"/>
      </w:rPr>
    </w:lvl>
  </w:abstractNum>
  <w:num w:numId="1">
    <w:abstractNumId w:val="14"/>
  </w:num>
  <w:num w:numId="2">
    <w:abstractNumId w:val="2"/>
  </w:num>
  <w:num w:numId="3">
    <w:abstractNumId w:val="18"/>
  </w:num>
  <w:num w:numId="4">
    <w:abstractNumId w:val="8"/>
  </w:num>
  <w:num w:numId="5">
    <w:abstractNumId w:val="15"/>
  </w:num>
  <w:num w:numId="6">
    <w:abstractNumId w:val="9"/>
  </w:num>
  <w:num w:numId="7">
    <w:abstractNumId w:val="12"/>
  </w:num>
  <w:num w:numId="8">
    <w:abstractNumId w:val="3"/>
  </w:num>
  <w:num w:numId="9">
    <w:abstractNumId w:val="7"/>
  </w:num>
  <w:num w:numId="10">
    <w:abstractNumId w:val="19"/>
  </w:num>
  <w:num w:numId="11">
    <w:abstractNumId w:val="13"/>
  </w:num>
  <w:num w:numId="12">
    <w:abstractNumId w:val="1"/>
  </w:num>
  <w:num w:numId="13">
    <w:abstractNumId w:val="5"/>
  </w:num>
  <w:num w:numId="14">
    <w:abstractNumId w:val="6"/>
  </w:num>
  <w:num w:numId="15">
    <w:abstractNumId w:val="4"/>
  </w:num>
  <w:num w:numId="16">
    <w:abstractNumId w:val="0"/>
  </w:num>
  <w:num w:numId="17">
    <w:abstractNumId w:val="10"/>
  </w:num>
  <w:num w:numId="18">
    <w:abstractNumId w:val="17"/>
  </w:num>
  <w:num w:numId="19">
    <w:abstractNumId w:val="16"/>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proofState w:spelling="clean" w:grammar="clean"/>
  <w:defaultTabStop w:val="4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261"/>
    <w:rsid w:val="00065B65"/>
    <w:rsid w:val="00124C4A"/>
    <w:rsid w:val="006C0B24"/>
    <w:rsid w:val="00AF6261"/>
    <w:rsid w:val="00D62403"/>
    <w:rsid w:val="00DC6C3A"/>
    <w:rsid w:val="00EC1362"/>
    <w:rsid w:val="00F041FB"/>
    <w:rsid w:val="00F30CA3"/>
    <w:rsid w:val="0F701FB7"/>
    <w:rsid w:val="2CAE5ED9"/>
    <w:rsid w:val="3C8F7100"/>
    <w:rsid w:val="7D667B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7DC3F"/>
  <w15:docId w15:val="{AE684A44-9C35-470C-9481-0F9DE514B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page number" w:qFormat="1"/>
    <w:lsdException w:name="endnote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uiPriority="10"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uiPriority="20"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ddress"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adjustRightInd w:val="0"/>
      <w:snapToGrid w:val="0"/>
      <w:spacing w:line="560" w:lineRule="atLeast"/>
      <w:ind w:firstLineChars="200" w:firstLine="480"/>
      <w:jc w:val="both"/>
    </w:pPr>
    <w:rPr>
      <w:rFonts w:ascii="仿宋" w:eastAsia="仿宋" w:hAnsi="仿宋"/>
      <w:kern w:val="2"/>
      <w:sz w:val="28"/>
      <w:szCs w:val="28"/>
    </w:rPr>
  </w:style>
  <w:style w:type="paragraph" w:styleId="1">
    <w:name w:val="heading 1"/>
    <w:next w:val="a1"/>
    <w:uiPriority w:val="9"/>
    <w:qFormat/>
    <w:pPr>
      <w:keepNext/>
      <w:keepLines/>
      <w:numPr>
        <w:numId w:val="1"/>
      </w:numPr>
      <w:pBdr>
        <w:top w:val="none" w:sz="0" w:space="1" w:color="auto"/>
        <w:left w:val="none" w:sz="0" w:space="4" w:color="auto"/>
        <w:bottom w:val="none" w:sz="0" w:space="1" w:color="auto"/>
        <w:right w:val="none" w:sz="0" w:space="4" w:color="auto"/>
      </w:pBdr>
      <w:adjustRightInd w:val="0"/>
      <w:snapToGrid w:val="0"/>
      <w:spacing w:beforeLines="100" w:before="100" w:afterLines="100" w:after="100" w:line="560" w:lineRule="atLeast"/>
      <w:jc w:val="center"/>
      <w:outlineLvl w:val="0"/>
    </w:pPr>
    <w:rPr>
      <w:rFonts w:ascii="黑体" w:eastAsia="黑体" w:hAnsi="黑体"/>
      <w:b/>
      <w:bCs/>
      <w:kern w:val="44"/>
      <w:sz w:val="32"/>
      <w:szCs w:val="32"/>
    </w:rPr>
  </w:style>
  <w:style w:type="paragraph" w:styleId="21">
    <w:name w:val="heading 2"/>
    <w:basedOn w:val="HTML"/>
    <w:next w:val="a1"/>
    <w:link w:val="22"/>
    <w:uiPriority w:val="9"/>
    <w:unhideWhenUsed/>
    <w:qFormat/>
    <w:pPr>
      <w:numPr>
        <w:ilvl w:val="1"/>
        <w:numId w:val="1"/>
      </w:numPr>
      <w:tabs>
        <w:tab w:val="clear" w:pos="420"/>
        <w:tab w:val="left" w:pos="0"/>
      </w:tabs>
      <w:spacing w:beforeLines="50" w:before="50" w:afterLines="50" w:after="50"/>
      <w:ind w:firstLine="880"/>
      <w:outlineLvl w:val="1"/>
    </w:pPr>
    <w:rPr>
      <w:rFonts w:ascii="黑体" w:eastAsia="黑体" w:hAnsi="黑体"/>
      <w:b/>
      <w:bCs/>
      <w:i w:val="0"/>
    </w:rPr>
  </w:style>
  <w:style w:type="paragraph" w:styleId="31">
    <w:name w:val="heading 3"/>
    <w:next w:val="a1"/>
    <w:uiPriority w:val="9"/>
    <w:unhideWhenUsed/>
    <w:qFormat/>
    <w:pPr>
      <w:numPr>
        <w:ilvl w:val="2"/>
        <w:numId w:val="1"/>
      </w:numPr>
      <w:tabs>
        <w:tab w:val="clear" w:pos="420"/>
        <w:tab w:val="left" w:pos="0"/>
      </w:tabs>
      <w:adjustRightInd w:val="0"/>
      <w:snapToGrid w:val="0"/>
      <w:spacing w:beforeLines="50" w:before="50" w:afterLines="50" w:after="50" w:line="560" w:lineRule="exact"/>
      <w:ind w:firstLineChars="200" w:firstLine="880"/>
      <w:outlineLvl w:val="2"/>
    </w:pPr>
    <w:rPr>
      <w:rFonts w:ascii="仿宋" w:eastAsia="仿宋" w:hAnsi="仿宋"/>
      <w:b/>
      <w:bCs/>
      <w:sz w:val="32"/>
      <w:szCs w:val="32"/>
    </w:rPr>
  </w:style>
  <w:style w:type="paragraph" w:styleId="4">
    <w:name w:val="heading 4"/>
    <w:basedOn w:val="31"/>
    <w:next w:val="a1"/>
    <w:uiPriority w:val="9"/>
    <w:unhideWhenUsed/>
    <w:qFormat/>
    <w:pPr>
      <w:numPr>
        <w:ilvl w:val="3"/>
      </w:numPr>
      <w:outlineLvl w:val="3"/>
    </w:pPr>
  </w:style>
  <w:style w:type="paragraph" w:styleId="51">
    <w:name w:val="heading 5"/>
    <w:basedOn w:val="4"/>
    <w:next w:val="a1"/>
    <w:uiPriority w:val="9"/>
    <w:unhideWhenUsed/>
    <w:qFormat/>
    <w:pPr>
      <w:numPr>
        <w:ilvl w:val="4"/>
      </w:numPr>
      <w:outlineLvl w:val="4"/>
    </w:pPr>
  </w:style>
  <w:style w:type="paragraph" w:styleId="6">
    <w:name w:val="heading 6"/>
    <w:basedOn w:val="51"/>
    <w:next w:val="a1"/>
    <w:unhideWhenUsed/>
    <w:qFormat/>
    <w:pPr>
      <w:numPr>
        <w:ilvl w:val="5"/>
      </w:numPr>
      <w:outlineLvl w:val="5"/>
    </w:pPr>
  </w:style>
  <w:style w:type="paragraph" w:styleId="7">
    <w:name w:val="heading 7"/>
    <w:basedOn w:val="6"/>
    <w:next w:val="a1"/>
    <w:unhideWhenUsed/>
    <w:qFormat/>
    <w:pPr>
      <w:numPr>
        <w:ilvl w:val="6"/>
      </w:numPr>
      <w:outlineLvl w:val="6"/>
    </w:pPr>
  </w:style>
  <w:style w:type="paragraph" w:styleId="8">
    <w:name w:val="heading 8"/>
    <w:basedOn w:val="7"/>
    <w:next w:val="a1"/>
    <w:unhideWhenUsed/>
    <w:qFormat/>
    <w:pPr>
      <w:numPr>
        <w:ilvl w:val="7"/>
      </w:numPr>
      <w:outlineLvl w:val="7"/>
    </w:pPr>
  </w:style>
  <w:style w:type="paragraph" w:styleId="9">
    <w:name w:val="heading 9"/>
    <w:basedOn w:val="8"/>
    <w:next w:val="a1"/>
    <w:unhideWhenUsed/>
    <w:qFormat/>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ind w:firstLineChars="200" w:firstLine="480"/>
    </w:pPr>
    <w:rPr>
      <w:rFonts w:ascii="宋体" w:eastAsia="宋体" w:hAnsi="宋体" w:cs="Courier New"/>
      <w:kern w:val="2"/>
      <w:sz w:val="24"/>
      <w:szCs w:val="24"/>
    </w:rPr>
  </w:style>
  <w:style w:type="paragraph" w:styleId="HTML">
    <w:name w:val="HTML Address"/>
    <w:basedOn w:val="a1"/>
    <w:qFormat/>
    <w:rPr>
      <w:i/>
    </w:rPr>
  </w:style>
  <w:style w:type="paragraph" w:styleId="32">
    <w:name w:val="List 3"/>
    <w:basedOn w:val="a1"/>
    <w:qFormat/>
    <w:pPr>
      <w:ind w:leftChars="400" w:left="100" w:hangingChars="200" w:hanging="200"/>
      <w:contextualSpacing/>
    </w:pPr>
  </w:style>
  <w:style w:type="paragraph" w:styleId="70">
    <w:name w:val="toc 7"/>
    <w:basedOn w:val="a1"/>
    <w:next w:val="a1"/>
    <w:qFormat/>
    <w:pPr>
      <w:ind w:leftChars="1200" w:left="2520"/>
    </w:pPr>
  </w:style>
  <w:style w:type="paragraph" w:styleId="2">
    <w:name w:val="List Number 2"/>
    <w:basedOn w:val="a1"/>
    <w:qFormat/>
    <w:pPr>
      <w:numPr>
        <w:ilvl w:val="1"/>
        <w:numId w:val="2"/>
      </w:numPr>
      <w:tabs>
        <w:tab w:val="left" w:pos="0"/>
      </w:tabs>
      <w:spacing w:before="50" w:after="50"/>
      <w:ind w:left="1191" w:firstLineChars="0" w:hanging="624"/>
    </w:pPr>
    <w:rPr>
      <w:color w:val="292929"/>
    </w:rPr>
  </w:style>
  <w:style w:type="paragraph" w:styleId="a7">
    <w:name w:val="table of authorities"/>
    <w:basedOn w:val="a1"/>
    <w:next w:val="a1"/>
    <w:qFormat/>
    <w:pPr>
      <w:ind w:leftChars="200" w:left="420" w:firstLine="0"/>
    </w:pPr>
  </w:style>
  <w:style w:type="paragraph" w:styleId="a8">
    <w:name w:val="Note Heading"/>
    <w:basedOn w:val="a1"/>
    <w:next w:val="a1"/>
    <w:link w:val="a9"/>
    <w:qFormat/>
    <w:pPr>
      <w:jc w:val="center"/>
    </w:pPr>
    <w:rPr>
      <w:rFonts w:ascii="宋体" w:eastAsia="宋体" w:hAnsi="宋体"/>
      <w:sz w:val="24"/>
      <w:szCs w:val="24"/>
    </w:rPr>
  </w:style>
  <w:style w:type="paragraph" w:styleId="40">
    <w:name w:val="List Bullet 4"/>
    <w:basedOn w:val="a1"/>
    <w:qFormat/>
    <w:pPr>
      <w:numPr>
        <w:numId w:val="3"/>
      </w:numPr>
      <w:spacing w:before="50" w:after="50"/>
      <w:ind w:left="1871" w:hanging="454"/>
    </w:pPr>
  </w:style>
  <w:style w:type="paragraph" w:styleId="80">
    <w:name w:val="index 8"/>
    <w:basedOn w:val="a1"/>
    <w:next w:val="a1"/>
    <w:qFormat/>
    <w:pPr>
      <w:ind w:leftChars="1400" w:left="1400" w:firstLine="0"/>
    </w:pPr>
  </w:style>
  <w:style w:type="paragraph" w:styleId="aa">
    <w:name w:val="E-mail Signature"/>
    <w:basedOn w:val="a1"/>
    <w:link w:val="ab"/>
    <w:qFormat/>
    <w:rPr>
      <w:rFonts w:ascii="宋体" w:eastAsia="宋体" w:hAnsi="宋体"/>
      <w:sz w:val="24"/>
      <w:szCs w:val="24"/>
    </w:rPr>
  </w:style>
  <w:style w:type="paragraph" w:styleId="a">
    <w:name w:val="List Number"/>
    <w:basedOn w:val="a1"/>
    <w:qFormat/>
    <w:pPr>
      <w:numPr>
        <w:numId w:val="4"/>
      </w:numPr>
      <w:tabs>
        <w:tab w:val="left" w:pos="0"/>
      </w:tabs>
      <w:spacing w:before="50" w:after="50" w:line="240" w:lineRule="auto"/>
      <w:ind w:left="454" w:firstLineChars="0" w:hanging="454"/>
    </w:pPr>
  </w:style>
  <w:style w:type="paragraph" w:styleId="ac">
    <w:name w:val="Normal Indent"/>
    <w:basedOn w:val="a1"/>
    <w:qFormat/>
    <w:pPr>
      <w:ind w:firstLine="420"/>
    </w:pPr>
  </w:style>
  <w:style w:type="paragraph" w:styleId="ad">
    <w:name w:val="caption"/>
    <w:basedOn w:val="a1"/>
    <w:next w:val="a1"/>
    <w:unhideWhenUsed/>
    <w:qFormat/>
    <w:pPr>
      <w:ind w:firstLineChars="0" w:firstLine="0"/>
    </w:pPr>
    <w:rPr>
      <w:sz w:val="20"/>
      <w:szCs w:val="20"/>
    </w:rPr>
  </w:style>
  <w:style w:type="paragraph" w:styleId="52">
    <w:name w:val="index 5"/>
    <w:basedOn w:val="a1"/>
    <w:next w:val="a1"/>
    <w:qFormat/>
    <w:pPr>
      <w:ind w:leftChars="800" w:left="800" w:firstLine="0"/>
    </w:pPr>
  </w:style>
  <w:style w:type="paragraph" w:styleId="a0">
    <w:name w:val="List Bullet"/>
    <w:basedOn w:val="a1"/>
    <w:qFormat/>
    <w:pPr>
      <w:numPr>
        <w:numId w:val="5"/>
      </w:numPr>
      <w:spacing w:before="50" w:after="50"/>
      <w:ind w:left="454" w:hanging="454"/>
    </w:pPr>
  </w:style>
  <w:style w:type="paragraph" w:styleId="ae">
    <w:name w:val="envelope address"/>
    <w:basedOn w:val="a1"/>
    <w:qFormat/>
    <w:pPr>
      <w:framePr w:w="7920" w:h="1980" w:hRule="exact" w:hSpace="180" w:wrap="auto" w:hAnchor="page" w:xAlign="center" w:yAlign="bottom"/>
      <w:ind w:leftChars="1400" w:left="100"/>
    </w:pPr>
    <w:rPr>
      <w:rFonts w:cstheme="majorBidi"/>
    </w:rPr>
  </w:style>
  <w:style w:type="paragraph" w:styleId="af">
    <w:name w:val="Document Map"/>
    <w:basedOn w:val="a1"/>
    <w:link w:val="af0"/>
    <w:qFormat/>
    <w:rPr>
      <w:rFonts w:ascii="宋体" w:eastAsia="宋体" w:hAnsi="宋体"/>
      <w:sz w:val="18"/>
      <w:szCs w:val="18"/>
    </w:rPr>
  </w:style>
  <w:style w:type="paragraph" w:styleId="af1">
    <w:name w:val="toa heading"/>
    <w:basedOn w:val="a1"/>
    <w:next w:val="a1"/>
    <w:qFormat/>
    <w:pPr>
      <w:spacing w:before="120"/>
    </w:pPr>
    <w:rPr>
      <w:rFonts w:cstheme="majorBidi"/>
    </w:rPr>
  </w:style>
  <w:style w:type="paragraph" w:styleId="af2">
    <w:name w:val="annotation text"/>
    <w:basedOn w:val="a1"/>
    <w:qFormat/>
    <w:pPr>
      <w:spacing w:before="50" w:after="50"/>
      <w:ind w:firstLineChars="0" w:firstLine="0"/>
      <w:jc w:val="left"/>
    </w:pPr>
  </w:style>
  <w:style w:type="paragraph" w:styleId="60">
    <w:name w:val="index 6"/>
    <w:basedOn w:val="a1"/>
    <w:next w:val="a1"/>
    <w:qFormat/>
    <w:pPr>
      <w:ind w:leftChars="1000" w:left="1000" w:firstLine="0"/>
    </w:pPr>
  </w:style>
  <w:style w:type="paragraph" w:styleId="af3">
    <w:name w:val="Salutation"/>
    <w:basedOn w:val="a1"/>
    <w:next w:val="a1"/>
    <w:link w:val="af4"/>
    <w:qFormat/>
    <w:rPr>
      <w:rFonts w:ascii="宋体" w:eastAsia="宋体" w:hAnsi="宋体"/>
      <w:sz w:val="24"/>
      <w:szCs w:val="24"/>
    </w:rPr>
  </w:style>
  <w:style w:type="paragraph" w:styleId="33">
    <w:name w:val="Body Text 3"/>
    <w:basedOn w:val="a1"/>
    <w:link w:val="34"/>
    <w:qFormat/>
    <w:pPr>
      <w:spacing w:after="120"/>
    </w:pPr>
    <w:rPr>
      <w:rFonts w:ascii="宋体" w:eastAsia="宋体" w:hAnsi="宋体"/>
      <w:sz w:val="16"/>
      <w:szCs w:val="16"/>
    </w:rPr>
  </w:style>
  <w:style w:type="paragraph" w:styleId="af5">
    <w:name w:val="Closing"/>
    <w:basedOn w:val="a1"/>
    <w:link w:val="af6"/>
    <w:qFormat/>
    <w:pPr>
      <w:ind w:leftChars="2100" w:left="100"/>
    </w:pPr>
    <w:rPr>
      <w:rFonts w:ascii="宋体" w:eastAsia="宋体" w:hAnsi="宋体"/>
      <w:sz w:val="24"/>
      <w:szCs w:val="24"/>
    </w:rPr>
  </w:style>
  <w:style w:type="paragraph" w:styleId="3">
    <w:name w:val="List Bullet 3"/>
    <w:basedOn w:val="a1"/>
    <w:qFormat/>
    <w:pPr>
      <w:numPr>
        <w:numId w:val="6"/>
      </w:numPr>
      <w:spacing w:before="50" w:after="50"/>
      <w:ind w:left="1361" w:hanging="454"/>
    </w:pPr>
  </w:style>
  <w:style w:type="paragraph" w:styleId="af7">
    <w:name w:val="Body Text"/>
    <w:basedOn w:val="a1"/>
    <w:link w:val="af8"/>
    <w:qFormat/>
    <w:pPr>
      <w:spacing w:afterLines="50" w:after="50"/>
    </w:pPr>
    <w:rPr>
      <w:rFonts w:ascii="宋体" w:eastAsia="宋体" w:hAnsi="宋体"/>
      <w:sz w:val="24"/>
      <w:szCs w:val="24"/>
    </w:rPr>
  </w:style>
  <w:style w:type="paragraph" w:styleId="af9">
    <w:name w:val="Body Text Indent"/>
    <w:basedOn w:val="a1"/>
    <w:link w:val="afa"/>
    <w:qFormat/>
    <w:pPr>
      <w:spacing w:after="120"/>
      <w:ind w:leftChars="200" w:left="420"/>
    </w:pPr>
    <w:rPr>
      <w:rFonts w:ascii="宋体" w:eastAsia="宋体" w:hAnsi="宋体"/>
      <w:sz w:val="24"/>
      <w:szCs w:val="24"/>
    </w:rPr>
  </w:style>
  <w:style w:type="paragraph" w:styleId="30">
    <w:name w:val="List Number 3"/>
    <w:basedOn w:val="a1"/>
    <w:qFormat/>
    <w:pPr>
      <w:numPr>
        <w:ilvl w:val="2"/>
        <w:numId w:val="7"/>
      </w:numPr>
      <w:tabs>
        <w:tab w:val="left" w:pos="0"/>
      </w:tabs>
      <w:spacing w:before="50" w:after="50"/>
      <w:ind w:left="2098" w:firstLineChars="0" w:hanging="907"/>
    </w:pPr>
    <w:rPr>
      <w:color w:val="292929"/>
    </w:rPr>
  </w:style>
  <w:style w:type="paragraph" w:styleId="23">
    <w:name w:val="List 2"/>
    <w:basedOn w:val="a1"/>
    <w:qFormat/>
    <w:pPr>
      <w:ind w:leftChars="200" w:left="100" w:hangingChars="200" w:hanging="200"/>
      <w:contextualSpacing/>
    </w:pPr>
  </w:style>
  <w:style w:type="paragraph" w:styleId="afb">
    <w:name w:val="List Continue"/>
    <w:basedOn w:val="a1"/>
    <w:qFormat/>
    <w:pPr>
      <w:spacing w:after="120"/>
      <w:ind w:leftChars="200" w:left="420"/>
      <w:contextualSpacing/>
    </w:pPr>
  </w:style>
  <w:style w:type="paragraph" w:styleId="afc">
    <w:name w:val="Block Text"/>
    <w:basedOn w:val="a1"/>
    <w:qFormat/>
    <w:pPr>
      <w:spacing w:after="120"/>
      <w:ind w:leftChars="700" w:left="1440" w:rightChars="700" w:right="1440"/>
    </w:pPr>
  </w:style>
  <w:style w:type="paragraph" w:styleId="20">
    <w:name w:val="List Bullet 2"/>
    <w:basedOn w:val="a1"/>
    <w:qFormat/>
    <w:pPr>
      <w:numPr>
        <w:numId w:val="8"/>
      </w:numPr>
      <w:spacing w:before="50" w:after="50"/>
      <w:ind w:left="850" w:firstLineChars="0" w:firstLine="0"/>
    </w:pPr>
  </w:style>
  <w:style w:type="paragraph" w:styleId="42">
    <w:name w:val="index 4"/>
    <w:basedOn w:val="a1"/>
    <w:next w:val="a1"/>
    <w:qFormat/>
    <w:pPr>
      <w:ind w:leftChars="600" w:left="600" w:firstLine="0"/>
    </w:pPr>
  </w:style>
  <w:style w:type="paragraph" w:styleId="53">
    <w:name w:val="toc 5"/>
    <w:basedOn w:val="a1"/>
    <w:next w:val="a1"/>
    <w:qFormat/>
    <w:pPr>
      <w:ind w:leftChars="800" w:left="1680"/>
    </w:pPr>
  </w:style>
  <w:style w:type="paragraph" w:styleId="35">
    <w:name w:val="toc 3"/>
    <w:basedOn w:val="a1"/>
    <w:next w:val="a1"/>
    <w:qFormat/>
    <w:pPr>
      <w:spacing w:before="50" w:after="50"/>
      <w:ind w:leftChars="400" w:left="840" w:firstLineChars="0" w:firstLine="0"/>
    </w:pPr>
  </w:style>
  <w:style w:type="paragraph" w:styleId="afd">
    <w:name w:val="Plain Text"/>
    <w:basedOn w:val="a1"/>
    <w:link w:val="afe"/>
    <w:qFormat/>
    <w:rPr>
      <w:rFonts w:ascii="宋体" w:eastAsia="宋体" w:hAnsi="宋体" w:cs="Courier New"/>
      <w:sz w:val="24"/>
      <w:szCs w:val="24"/>
    </w:rPr>
  </w:style>
  <w:style w:type="paragraph" w:styleId="5">
    <w:name w:val="List Bullet 5"/>
    <w:basedOn w:val="a1"/>
    <w:qFormat/>
    <w:pPr>
      <w:numPr>
        <w:numId w:val="9"/>
      </w:numPr>
      <w:spacing w:before="50" w:after="50"/>
      <w:ind w:left="2324" w:hanging="454"/>
    </w:pPr>
  </w:style>
  <w:style w:type="paragraph" w:styleId="41">
    <w:name w:val="List Number 4"/>
    <w:basedOn w:val="a1"/>
    <w:qFormat/>
    <w:pPr>
      <w:numPr>
        <w:ilvl w:val="3"/>
        <w:numId w:val="10"/>
      </w:numPr>
      <w:tabs>
        <w:tab w:val="left" w:pos="0"/>
        <w:tab w:val="left" w:pos="420"/>
      </w:tabs>
      <w:spacing w:before="50" w:after="50"/>
      <w:ind w:left="3231" w:firstLineChars="0" w:hanging="1134"/>
    </w:pPr>
    <w:rPr>
      <w:color w:val="292929"/>
    </w:rPr>
  </w:style>
  <w:style w:type="paragraph" w:styleId="81">
    <w:name w:val="toc 8"/>
    <w:basedOn w:val="a1"/>
    <w:next w:val="a1"/>
    <w:link w:val="82"/>
    <w:qFormat/>
    <w:pPr>
      <w:ind w:leftChars="1400" w:left="2940"/>
    </w:pPr>
    <w:rPr>
      <w:rFonts w:ascii="宋体" w:eastAsia="宋体" w:hAnsi="宋体"/>
      <w:sz w:val="24"/>
      <w:szCs w:val="24"/>
    </w:rPr>
  </w:style>
  <w:style w:type="paragraph" w:styleId="36">
    <w:name w:val="index 3"/>
    <w:basedOn w:val="a1"/>
    <w:next w:val="a1"/>
    <w:qFormat/>
    <w:pPr>
      <w:ind w:leftChars="400" w:left="400" w:firstLine="0"/>
    </w:pPr>
  </w:style>
  <w:style w:type="paragraph" w:styleId="aff">
    <w:name w:val="Date"/>
    <w:basedOn w:val="a1"/>
    <w:next w:val="a1"/>
    <w:link w:val="aff0"/>
    <w:qFormat/>
    <w:pPr>
      <w:spacing w:line="240" w:lineRule="auto"/>
      <w:ind w:firstLineChars="0" w:firstLine="0"/>
      <w:jc w:val="right"/>
    </w:pPr>
    <w:rPr>
      <w:rFonts w:ascii="宋体" w:eastAsia="宋体" w:hAnsi="宋体"/>
      <w:sz w:val="24"/>
      <w:szCs w:val="24"/>
    </w:rPr>
  </w:style>
  <w:style w:type="paragraph" w:styleId="24">
    <w:name w:val="Body Text Indent 2"/>
    <w:basedOn w:val="a1"/>
    <w:link w:val="25"/>
    <w:qFormat/>
    <w:pPr>
      <w:spacing w:after="120" w:line="480" w:lineRule="auto"/>
      <w:ind w:leftChars="200" w:left="420"/>
    </w:pPr>
    <w:rPr>
      <w:rFonts w:ascii="宋体" w:eastAsia="宋体" w:hAnsi="宋体"/>
      <w:sz w:val="24"/>
      <w:szCs w:val="24"/>
    </w:rPr>
  </w:style>
  <w:style w:type="paragraph" w:styleId="aff1">
    <w:name w:val="endnote text"/>
    <w:basedOn w:val="a1"/>
    <w:qFormat/>
    <w:pPr>
      <w:ind w:firstLineChars="0" w:firstLine="0"/>
      <w:jc w:val="left"/>
    </w:pPr>
  </w:style>
  <w:style w:type="paragraph" w:styleId="54">
    <w:name w:val="List Continue 5"/>
    <w:basedOn w:val="a1"/>
    <w:qFormat/>
    <w:pPr>
      <w:spacing w:after="120"/>
      <w:ind w:leftChars="1000" w:left="2100"/>
      <w:contextualSpacing/>
    </w:pPr>
  </w:style>
  <w:style w:type="paragraph" w:styleId="aff2">
    <w:name w:val="Balloon Text"/>
    <w:basedOn w:val="a1"/>
    <w:qFormat/>
    <w:pPr>
      <w:spacing w:before="50" w:after="50"/>
      <w:ind w:firstLineChars="0" w:firstLine="0"/>
    </w:pPr>
    <w:rPr>
      <w:sz w:val="18"/>
      <w:szCs w:val="18"/>
    </w:rPr>
  </w:style>
  <w:style w:type="paragraph" w:styleId="aff3">
    <w:name w:val="footer"/>
    <w:basedOn w:val="a1"/>
    <w:qFormat/>
    <w:pPr>
      <w:tabs>
        <w:tab w:val="center" w:pos="4153"/>
        <w:tab w:val="right" w:pos="8306"/>
      </w:tabs>
      <w:ind w:firstLineChars="0" w:firstLine="0"/>
      <w:jc w:val="center"/>
    </w:pPr>
    <w:rPr>
      <w:sz w:val="18"/>
      <w:szCs w:val="18"/>
    </w:rPr>
  </w:style>
  <w:style w:type="paragraph" w:styleId="aff4">
    <w:name w:val="envelope return"/>
    <w:basedOn w:val="a1"/>
    <w:qFormat/>
    <w:rPr>
      <w:rFonts w:cstheme="majorBidi"/>
    </w:rPr>
  </w:style>
  <w:style w:type="paragraph" w:styleId="aff5">
    <w:name w:val="header"/>
    <w:basedOn w:val="a1"/>
    <w:qFormat/>
    <w:pPr>
      <w:pBdr>
        <w:top w:val="none" w:sz="0" w:space="1" w:color="auto"/>
        <w:left w:val="none" w:sz="0" w:space="4" w:color="auto"/>
        <w:bottom w:val="none" w:sz="0" w:space="1" w:color="auto"/>
        <w:right w:val="none" w:sz="0" w:space="4" w:color="auto"/>
      </w:pBdr>
      <w:tabs>
        <w:tab w:val="center" w:pos="4153"/>
        <w:tab w:val="right" w:pos="8306"/>
      </w:tabs>
      <w:ind w:firstLineChars="0" w:firstLine="0"/>
      <w:jc w:val="center"/>
    </w:pPr>
    <w:rPr>
      <w:sz w:val="18"/>
      <w:szCs w:val="18"/>
    </w:rPr>
  </w:style>
  <w:style w:type="paragraph" w:styleId="aff6">
    <w:name w:val="Signature"/>
    <w:basedOn w:val="a1"/>
    <w:link w:val="aff7"/>
    <w:qFormat/>
    <w:pPr>
      <w:spacing w:line="240" w:lineRule="auto"/>
      <w:ind w:firstLineChars="0" w:firstLine="0"/>
      <w:jc w:val="right"/>
    </w:pPr>
    <w:rPr>
      <w:rFonts w:ascii="宋体" w:eastAsia="宋体" w:hAnsi="宋体"/>
      <w:sz w:val="24"/>
      <w:szCs w:val="24"/>
    </w:rPr>
  </w:style>
  <w:style w:type="paragraph" w:styleId="10">
    <w:name w:val="toc 1"/>
    <w:basedOn w:val="a1"/>
    <w:next w:val="a1"/>
    <w:link w:val="11"/>
    <w:qFormat/>
    <w:pPr>
      <w:spacing w:before="50" w:after="50"/>
      <w:ind w:firstLineChars="0" w:firstLine="0"/>
    </w:pPr>
    <w:rPr>
      <w:rFonts w:ascii="宋体" w:eastAsia="宋体" w:hAnsi="宋体"/>
      <w:sz w:val="24"/>
      <w:szCs w:val="24"/>
    </w:rPr>
  </w:style>
  <w:style w:type="paragraph" w:styleId="43">
    <w:name w:val="List Continue 4"/>
    <w:basedOn w:val="a1"/>
    <w:qFormat/>
    <w:pPr>
      <w:spacing w:after="120"/>
      <w:ind w:leftChars="800" w:left="1680"/>
      <w:contextualSpacing/>
    </w:pPr>
  </w:style>
  <w:style w:type="paragraph" w:styleId="44">
    <w:name w:val="toc 4"/>
    <w:basedOn w:val="a1"/>
    <w:next w:val="a1"/>
    <w:qFormat/>
    <w:pPr>
      <w:ind w:leftChars="600" w:left="1260"/>
    </w:pPr>
  </w:style>
  <w:style w:type="paragraph" w:styleId="aff8">
    <w:name w:val="index heading"/>
    <w:basedOn w:val="a1"/>
    <w:next w:val="12"/>
    <w:qFormat/>
    <w:rPr>
      <w:rFonts w:cstheme="majorBidi"/>
      <w:b/>
      <w:bCs/>
    </w:rPr>
  </w:style>
  <w:style w:type="paragraph" w:styleId="12">
    <w:name w:val="index 1"/>
    <w:basedOn w:val="a1"/>
    <w:next w:val="a1"/>
    <w:qFormat/>
    <w:pPr>
      <w:ind w:firstLine="0"/>
    </w:pPr>
  </w:style>
  <w:style w:type="paragraph" w:styleId="aff9">
    <w:name w:val="Subtitle"/>
    <w:qFormat/>
    <w:pPr>
      <w:adjustRightInd w:val="0"/>
      <w:snapToGrid w:val="0"/>
      <w:spacing w:afterLines="100" w:after="100" w:line="560" w:lineRule="exact"/>
      <w:jc w:val="center"/>
      <w:outlineLvl w:val="1"/>
    </w:pPr>
    <w:rPr>
      <w:rFonts w:ascii="黑体" w:eastAsia="黑体" w:hAnsi="黑体"/>
      <w:b/>
      <w:bCs/>
      <w:kern w:val="28"/>
      <w:sz w:val="36"/>
      <w:szCs w:val="36"/>
    </w:rPr>
  </w:style>
  <w:style w:type="paragraph" w:styleId="50">
    <w:name w:val="List Number 5"/>
    <w:basedOn w:val="a1"/>
    <w:qFormat/>
    <w:pPr>
      <w:numPr>
        <w:ilvl w:val="4"/>
        <w:numId w:val="11"/>
      </w:numPr>
      <w:tabs>
        <w:tab w:val="left" w:pos="0"/>
      </w:tabs>
      <w:spacing w:before="50" w:after="50"/>
      <w:ind w:left="4592" w:firstLineChars="0" w:hanging="1361"/>
    </w:pPr>
    <w:rPr>
      <w:color w:val="292929"/>
    </w:rPr>
  </w:style>
  <w:style w:type="paragraph" w:styleId="affa">
    <w:name w:val="List"/>
    <w:basedOn w:val="a1"/>
    <w:qFormat/>
    <w:pPr>
      <w:ind w:left="200" w:hangingChars="200" w:hanging="200"/>
      <w:contextualSpacing/>
    </w:pPr>
  </w:style>
  <w:style w:type="paragraph" w:styleId="affb">
    <w:name w:val="footnote text"/>
    <w:basedOn w:val="a1"/>
    <w:qFormat/>
    <w:pPr>
      <w:ind w:firstLineChars="0" w:firstLine="0"/>
      <w:jc w:val="left"/>
    </w:pPr>
    <w:rPr>
      <w:sz w:val="18"/>
      <w:szCs w:val="18"/>
    </w:rPr>
  </w:style>
  <w:style w:type="paragraph" w:styleId="61">
    <w:name w:val="toc 6"/>
    <w:basedOn w:val="a1"/>
    <w:next w:val="a1"/>
    <w:qFormat/>
    <w:pPr>
      <w:ind w:leftChars="1000" w:left="2100"/>
    </w:pPr>
  </w:style>
  <w:style w:type="paragraph" w:styleId="55">
    <w:name w:val="List 5"/>
    <w:basedOn w:val="a1"/>
    <w:qFormat/>
    <w:pPr>
      <w:ind w:leftChars="800" w:left="100" w:hangingChars="200" w:hanging="200"/>
      <w:contextualSpacing/>
    </w:pPr>
  </w:style>
  <w:style w:type="paragraph" w:styleId="37">
    <w:name w:val="Body Text Indent 3"/>
    <w:basedOn w:val="a1"/>
    <w:link w:val="38"/>
    <w:qFormat/>
    <w:pPr>
      <w:spacing w:after="120"/>
      <w:ind w:leftChars="200" w:left="420"/>
    </w:pPr>
    <w:rPr>
      <w:rFonts w:ascii="宋体" w:eastAsia="宋体" w:hAnsi="宋体"/>
      <w:sz w:val="16"/>
      <w:szCs w:val="16"/>
    </w:rPr>
  </w:style>
  <w:style w:type="paragraph" w:styleId="71">
    <w:name w:val="index 7"/>
    <w:basedOn w:val="a1"/>
    <w:next w:val="a1"/>
    <w:qFormat/>
    <w:pPr>
      <w:ind w:leftChars="1200" w:left="1200" w:firstLine="0"/>
    </w:pPr>
  </w:style>
  <w:style w:type="paragraph" w:styleId="90">
    <w:name w:val="index 9"/>
    <w:basedOn w:val="a1"/>
    <w:next w:val="a1"/>
    <w:qFormat/>
    <w:pPr>
      <w:ind w:leftChars="1600" w:left="1600" w:firstLine="0"/>
    </w:pPr>
  </w:style>
  <w:style w:type="paragraph" w:styleId="affc">
    <w:name w:val="table of figures"/>
    <w:basedOn w:val="a1"/>
    <w:next w:val="a1"/>
    <w:qFormat/>
    <w:pPr>
      <w:ind w:leftChars="200" w:left="200" w:hangingChars="200" w:hanging="200"/>
    </w:pPr>
  </w:style>
  <w:style w:type="paragraph" w:styleId="26">
    <w:name w:val="toc 2"/>
    <w:basedOn w:val="a1"/>
    <w:next w:val="a1"/>
    <w:qFormat/>
    <w:pPr>
      <w:spacing w:before="50" w:after="50"/>
      <w:ind w:leftChars="200" w:left="420" w:firstLineChars="0" w:firstLine="0"/>
    </w:pPr>
  </w:style>
  <w:style w:type="paragraph" w:styleId="91">
    <w:name w:val="toc 9"/>
    <w:basedOn w:val="a1"/>
    <w:next w:val="a1"/>
    <w:link w:val="92"/>
    <w:qFormat/>
    <w:pPr>
      <w:ind w:leftChars="1600" w:left="3360"/>
    </w:pPr>
    <w:rPr>
      <w:rFonts w:ascii="宋体" w:eastAsia="宋体" w:hAnsi="宋体"/>
      <w:sz w:val="24"/>
      <w:szCs w:val="24"/>
    </w:rPr>
  </w:style>
  <w:style w:type="paragraph" w:styleId="27">
    <w:name w:val="Body Text 2"/>
    <w:basedOn w:val="a1"/>
    <w:link w:val="28"/>
    <w:qFormat/>
    <w:pPr>
      <w:spacing w:after="120" w:line="480" w:lineRule="auto"/>
    </w:pPr>
    <w:rPr>
      <w:rFonts w:ascii="宋体" w:eastAsia="宋体" w:hAnsi="宋体"/>
      <w:sz w:val="24"/>
      <w:szCs w:val="24"/>
    </w:rPr>
  </w:style>
  <w:style w:type="paragraph" w:styleId="45">
    <w:name w:val="List 4"/>
    <w:basedOn w:val="a1"/>
    <w:qFormat/>
    <w:pPr>
      <w:ind w:leftChars="600" w:left="100" w:hangingChars="200" w:hanging="200"/>
      <w:contextualSpacing/>
    </w:pPr>
  </w:style>
  <w:style w:type="paragraph" w:styleId="29">
    <w:name w:val="List Continue 2"/>
    <w:basedOn w:val="a1"/>
    <w:qFormat/>
    <w:pPr>
      <w:spacing w:after="120"/>
      <w:ind w:leftChars="400" w:left="840"/>
      <w:contextualSpacing/>
    </w:pPr>
  </w:style>
  <w:style w:type="paragraph" w:styleId="affd">
    <w:name w:val="Message Header"/>
    <w:basedOn w:val="a1"/>
    <w:link w:val="affe"/>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宋体" w:eastAsia="宋体" w:hAnsi="宋体" w:cstheme="majorBidi"/>
      <w:sz w:val="24"/>
      <w:szCs w:val="24"/>
      <w:shd w:val="pct20" w:color="auto" w:fill="auto"/>
    </w:rPr>
  </w:style>
  <w:style w:type="paragraph" w:styleId="afff">
    <w:name w:val="Normal (Web)"/>
    <w:basedOn w:val="a1"/>
    <w:qFormat/>
    <w:rPr>
      <w:rFonts w:cs="Times New Roman"/>
    </w:rPr>
  </w:style>
  <w:style w:type="paragraph" w:styleId="39">
    <w:name w:val="List Continue 3"/>
    <w:basedOn w:val="a1"/>
    <w:qFormat/>
    <w:pPr>
      <w:spacing w:after="120"/>
      <w:ind w:leftChars="600" w:left="1260"/>
      <w:contextualSpacing/>
    </w:pPr>
  </w:style>
  <w:style w:type="paragraph" w:styleId="2a">
    <w:name w:val="index 2"/>
    <w:basedOn w:val="a1"/>
    <w:next w:val="a1"/>
    <w:qFormat/>
    <w:pPr>
      <w:ind w:leftChars="200" w:left="200" w:firstLine="0"/>
    </w:pPr>
  </w:style>
  <w:style w:type="paragraph" w:styleId="afff0">
    <w:name w:val="Title"/>
    <w:uiPriority w:val="10"/>
    <w:qFormat/>
    <w:pPr>
      <w:pBdr>
        <w:top w:val="none" w:sz="0" w:space="1" w:color="auto"/>
        <w:left w:val="none" w:sz="0" w:space="4" w:color="auto"/>
        <w:bottom w:val="none" w:sz="0" w:space="1" w:color="auto"/>
        <w:right w:val="none" w:sz="0" w:space="4" w:color="auto"/>
      </w:pBdr>
      <w:adjustRightInd w:val="0"/>
      <w:snapToGrid w:val="0"/>
      <w:spacing w:afterLines="100" w:after="100" w:line="560" w:lineRule="exact"/>
      <w:jc w:val="center"/>
      <w:outlineLvl w:val="0"/>
    </w:pPr>
    <w:rPr>
      <w:rFonts w:ascii="方正小标宋简体" w:eastAsia="方正小标宋简体" w:hAnsi="方正小标宋简体" w:cs="Times New Roman"/>
      <w:sz w:val="44"/>
      <w:szCs w:val="44"/>
    </w:rPr>
  </w:style>
  <w:style w:type="paragraph" w:styleId="afff1">
    <w:name w:val="annotation subject"/>
    <w:basedOn w:val="af2"/>
    <w:next w:val="af2"/>
    <w:qFormat/>
    <w:rPr>
      <w:b/>
    </w:rPr>
  </w:style>
  <w:style w:type="paragraph" w:styleId="afff2">
    <w:name w:val="Body Text First Indent"/>
    <w:basedOn w:val="af7"/>
    <w:link w:val="afff3"/>
    <w:qFormat/>
    <w:pPr>
      <w:spacing w:afterLines="0" w:after="120"/>
      <w:ind w:firstLineChars="100" w:firstLine="420"/>
    </w:pPr>
  </w:style>
  <w:style w:type="paragraph" w:styleId="2b">
    <w:name w:val="Body Text First Indent 2"/>
    <w:basedOn w:val="af9"/>
    <w:link w:val="2c"/>
    <w:qFormat/>
    <w:pPr>
      <w:ind w:firstLine="420"/>
    </w:pPr>
  </w:style>
  <w:style w:type="character" w:styleId="afff4">
    <w:name w:val="Strong"/>
    <w:uiPriority w:val="22"/>
    <w:qFormat/>
    <w:rPr>
      <w:rFonts w:ascii="仿宋" w:eastAsia="仿宋" w:hAnsi="仿宋" w:cstheme="minorBidi"/>
      <w:color w:val="auto"/>
      <w:kern w:val="2"/>
      <w:sz w:val="32"/>
      <w:szCs w:val="32"/>
      <w:u w:val="words"/>
      <w:lang w:val="en-US" w:eastAsia="zh-CN" w:bidi="ar-SA"/>
    </w:rPr>
  </w:style>
  <w:style w:type="character" w:styleId="afff5">
    <w:name w:val="endnote reference"/>
    <w:basedOn w:val="a2"/>
    <w:qFormat/>
    <w:rPr>
      <w:rFonts w:ascii="仿宋" w:eastAsia="仿宋" w:hAnsi="仿宋"/>
      <w:vertAlign w:val="superscript"/>
    </w:rPr>
  </w:style>
  <w:style w:type="character" w:styleId="afff6">
    <w:name w:val="page number"/>
    <w:basedOn w:val="a2"/>
    <w:qFormat/>
    <w:rPr>
      <w:rFonts w:ascii="仿宋" w:eastAsia="仿宋" w:hAnsi="仿宋" w:cs="Times New Roman"/>
      <w:color w:val="808080" w:themeColor="background1" w:themeShade="80"/>
    </w:rPr>
  </w:style>
  <w:style w:type="character" w:styleId="afff7">
    <w:name w:val="FollowedHyperlink"/>
    <w:basedOn w:val="a2"/>
    <w:qFormat/>
    <w:rPr>
      <w:rFonts w:ascii="仿宋" w:eastAsia="仿宋" w:hAnsi="仿宋"/>
      <w:color w:val="800080"/>
      <w:sz w:val="32"/>
      <w:szCs w:val="32"/>
      <w:u w:val="single"/>
    </w:rPr>
  </w:style>
  <w:style w:type="character" w:styleId="afff8">
    <w:name w:val="Emphasis"/>
    <w:uiPriority w:val="20"/>
    <w:qFormat/>
    <w:rPr>
      <w:rFonts w:ascii="仿宋" w:eastAsia="仿宋" w:hAnsi="仿宋" w:cstheme="minorBidi"/>
      <w:b/>
      <w:bCs/>
      <w:kern w:val="2"/>
      <w:sz w:val="32"/>
      <w:szCs w:val="32"/>
      <w:lang w:val="en-US" w:eastAsia="zh-CN" w:bidi="ar-SA"/>
    </w:rPr>
  </w:style>
  <w:style w:type="character" w:styleId="afff9">
    <w:name w:val="Hyperlink"/>
    <w:basedOn w:val="a2"/>
    <w:qFormat/>
    <w:rPr>
      <w:rFonts w:ascii="仿宋" w:eastAsia="仿宋" w:hAnsi="仿宋"/>
      <w:color w:val="0000FF"/>
      <w:sz w:val="32"/>
      <w:szCs w:val="32"/>
      <w:u w:val="single"/>
    </w:rPr>
  </w:style>
  <w:style w:type="character" w:styleId="afffa">
    <w:name w:val="annotation reference"/>
    <w:basedOn w:val="a2"/>
    <w:qFormat/>
    <w:rPr>
      <w:rFonts w:ascii="仿宋" w:eastAsia="仿宋" w:hAnsi="仿宋"/>
      <w:sz w:val="21"/>
      <w:szCs w:val="21"/>
    </w:rPr>
  </w:style>
  <w:style w:type="character" w:styleId="afffb">
    <w:name w:val="footnote reference"/>
    <w:basedOn w:val="a2"/>
    <w:qFormat/>
    <w:rPr>
      <w:rFonts w:ascii="仿宋" w:eastAsia="仿宋" w:hAnsi="仿宋"/>
      <w:vertAlign w:val="superscript"/>
    </w:rPr>
  </w:style>
  <w:style w:type="paragraph" w:customStyle="1" w:styleId="afffc">
    <w:name w:val="目录标题"/>
    <w:link w:val="Char"/>
    <w:qFormat/>
    <w:pPr>
      <w:jc w:val="center"/>
    </w:pPr>
    <w:rPr>
      <w:rFonts w:ascii="宋体" w:eastAsia="宋体" w:hAnsi="宋体"/>
      <w:b/>
      <w:bCs/>
      <w:sz w:val="24"/>
      <w:szCs w:val="24"/>
    </w:rPr>
  </w:style>
  <w:style w:type="character" w:customStyle="1" w:styleId="11">
    <w:name w:val="目录 1 字符"/>
    <w:link w:val="10"/>
    <w:qFormat/>
    <w:rPr>
      <w:rFonts w:ascii="宋体" w:eastAsia="宋体" w:hAnsi="宋体"/>
      <w:kern w:val="2"/>
      <w:sz w:val="24"/>
      <w:szCs w:val="24"/>
    </w:rPr>
  </w:style>
  <w:style w:type="character" w:customStyle="1" w:styleId="Char">
    <w:name w:val="目录标题 Char"/>
    <w:link w:val="afffc"/>
    <w:qFormat/>
    <w:rPr>
      <w:rFonts w:ascii="宋体" w:eastAsia="宋体" w:hAnsi="宋体"/>
      <w:b/>
      <w:bCs/>
      <w:sz w:val="24"/>
      <w:szCs w:val="24"/>
    </w:rPr>
  </w:style>
  <w:style w:type="character" w:customStyle="1" w:styleId="92">
    <w:name w:val="目录 9 字符"/>
    <w:link w:val="91"/>
    <w:qFormat/>
    <w:rPr>
      <w:rFonts w:ascii="宋体" w:eastAsia="宋体" w:hAnsi="宋体"/>
      <w:kern w:val="2"/>
      <w:sz w:val="24"/>
      <w:szCs w:val="24"/>
    </w:rPr>
  </w:style>
  <w:style w:type="character" w:customStyle="1" w:styleId="82">
    <w:name w:val="目录 8 字符"/>
    <w:link w:val="81"/>
    <w:qFormat/>
    <w:rPr>
      <w:rFonts w:ascii="宋体" w:eastAsia="宋体" w:hAnsi="宋体"/>
      <w:kern w:val="2"/>
      <w:sz w:val="24"/>
      <w:szCs w:val="24"/>
    </w:rPr>
  </w:style>
  <w:style w:type="paragraph" w:customStyle="1" w:styleId="13">
    <w:name w:val="题注1"/>
    <w:basedOn w:val="a1"/>
    <w:qFormat/>
    <w:pPr>
      <w:spacing w:before="50" w:after="50"/>
      <w:ind w:firstLineChars="0" w:firstLine="0"/>
    </w:pPr>
    <w:rPr>
      <w:rFonts w:hint="eastAsia"/>
      <w:sz w:val="20"/>
      <w:szCs w:val="20"/>
    </w:rPr>
  </w:style>
  <w:style w:type="paragraph" w:customStyle="1" w:styleId="afffd">
    <w:name w:val="章标题"/>
    <w:next w:val="a1"/>
    <w:qFormat/>
    <w:pPr>
      <w:keepNext/>
      <w:keepLines/>
      <w:tabs>
        <w:tab w:val="left" w:pos="0"/>
      </w:tabs>
      <w:adjustRightInd w:val="0"/>
      <w:snapToGrid w:val="0"/>
      <w:spacing w:line="560" w:lineRule="exact"/>
      <w:jc w:val="center"/>
      <w:outlineLvl w:val="0"/>
    </w:pPr>
    <w:rPr>
      <w:rFonts w:ascii="黑体" w:eastAsia="黑体" w:hAnsi="黑体"/>
      <w:b/>
      <w:bCs/>
      <w:kern w:val="44"/>
      <w:sz w:val="36"/>
      <w:szCs w:val="36"/>
    </w:rPr>
  </w:style>
  <w:style w:type="paragraph" w:customStyle="1" w:styleId="afffe">
    <w:name w:val="节标题"/>
    <w:next w:val="a1"/>
    <w:qFormat/>
    <w:pPr>
      <w:tabs>
        <w:tab w:val="left" w:pos="0"/>
      </w:tabs>
      <w:adjustRightInd w:val="0"/>
      <w:snapToGrid w:val="0"/>
      <w:spacing w:line="560" w:lineRule="exact"/>
      <w:jc w:val="center"/>
    </w:pPr>
    <w:rPr>
      <w:rFonts w:ascii="黑体" w:eastAsia="黑体" w:hAnsi="黑体"/>
      <w:b/>
      <w:bCs/>
      <w:sz w:val="32"/>
      <w:szCs w:val="32"/>
    </w:rPr>
  </w:style>
  <w:style w:type="character" w:customStyle="1" w:styleId="affff">
    <w:name w:val="摘要"/>
    <w:basedOn w:val="a2"/>
    <w:qFormat/>
    <w:rPr>
      <w:rFonts w:ascii="仿宋" w:eastAsia="仿宋" w:hAnsi="仿宋"/>
      <w:b/>
      <w:bCs/>
      <w:lang w:val="en-US" w:eastAsia="zh-CN"/>
    </w:rPr>
  </w:style>
  <w:style w:type="character" w:customStyle="1" w:styleId="affff0">
    <w:name w:val="参考文献条目"/>
    <w:basedOn w:val="a2"/>
    <w:qFormat/>
    <w:rPr>
      <w:rFonts w:ascii="仿宋" w:eastAsia="仿宋" w:hAnsi="仿宋"/>
      <w:sz w:val="32"/>
      <w:szCs w:val="32"/>
      <w:lang w:val="en-US" w:eastAsia="zh-CN"/>
    </w:rPr>
  </w:style>
  <w:style w:type="character" w:customStyle="1" w:styleId="affff1">
    <w:name w:val="关键词"/>
    <w:basedOn w:val="a2"/>
    <w:qFormat/>
    <w:rPr>
      <w:rFonts w:ascii="仿宋" w:eastAsia="仿宋" w:hAnsi="仿宋"/>
      <w:b/>
      <w:bCs/>
      <w:lang w:val="en-US" w:eastAsia="zh-CN"/>
    </w:rPr>
  </w:style>
  <w:style w:type="character" w:customStyle="1" w:styleId="affff2">
    <w:name w:val="着重标题"/>
    <w:basedOn w:val="a2"/>
    <w:qFormat/>
    <w:rPr>
      <w:rFonts w:ascii="仿宋" w:eastAsia="仿宋" w:hAnsi="仿宋"/>
      <w:lang w:val="en-US" w:eastAsia="zh-CN"/>
    </w:rPr>
  </w:style>
  <w:style w:type="character" w:customStyle="1" w:styleId="af4">
    <w:name w:val="称呼 字符"/>
    <w:basedOn w:val="a2"/>
    <w:link w:val="af3"/>
    <w:qFormat/>
    <w:rPr>
      <w:rFonts w:ascii="宋体" w:eastAsia="宋体" w:hAnsi="宋体"/>
      <w:kern w:val="2"/>
      <w:sz w:val="24"/>
      <w:szCs w:val="24"/>
    </w:rPr>
  </w:style>
  <w:style w:type="character" w:customStyle="1" w:styleId="afe">
    <w:name w:val="纯文本 字符"/>
    <w:basedOn w:val="a2"/>
    <w:link w:val="afd"/>
    <w:qFormat/>
    <w:rPr>
      <w:rFonts w:ascii="宋体" w:eastAsia="宋体" w:hAnsi="宋体" w:cs="Courier New"/>
      <w:kern w:val="2"/>
      <w:sz w:val="24"/>
      <w:szCs w:val="24"/>
    </w:rPr>
  </w:style>
  <w:style w:type="character" w:customStyle="1" w:styleId="ab">
    <w:name w:val="电子邮件签名 字符"/>
    <w:basedOn w:val="a2"/>
    <w:link w:val="aa"/>
    <w:qFormat/>
    <w:rPr>
      <w:rFonts w:ascii="宋体" w:eastAsia="宋体" w:hAnsi="宋体"/>
      <w:kern w:val="2"/>
      <w:sz w:val="24"/>
      <w:szCs w:val="24"/>
    </w:rPr>
  </w:style>
  <w:style w:type="character" w:customStyle="1" w:styleId="a6">
    <w:name w:val="宏文本 字符"/>
    <w:basedOn w:val="a2"/>
    <w:link w:val="a5"/>
    <w:qFormat/>
    <w:rPr>
      <w:rFonts w:ascii="宋体" w:eastAsia="宋体" w:hAnsi="宋体" w:cs="Courier New"/>
      <w:kern w:val="2"/>
      <w:sz w:val="24"/>
      <w:szCs w:val="24"/>
    </w:rPr>
  </w:style>
  <w:style w:type="character" w:customStyle="1" w:styleId="af6">
    <w:name w:val="结束语 字符"/>
    <w:basedOn w:val="a2"/>
    <w:link w:val="af5"/>
    <w:qFormat/>
    <w:rPr>
      <w:rFonts w:ascii="宋体" w:eastAsia="宋体" w:hAnsi="宋体"/>
      <w:kern w:val="2"/>
      <w:sz w:val="24"/>
      <w:szCs w:val="24"/>
    </w:rPr>
  </w:style>
  <w:style w:type="character" w:customStyle="1" w:styleId="aff7">
    <w:name w:val="签名 字符"/>
    <w:basedOn w:val="a2"/>
    <w:link w:val="aff6"/>
    <w:qFormat/>
    <w:rPr>
      <w:rFonts w:ascii="宋体" w:eastAsia="宋体" w:hAnsi="宋体"/>
      <w:kern w:val="2"/>
      <w:sz w:val="24"/>
      <w:szCs w:val="24"/>
    </w:rPr>
  </w:style>
  <w:style w:type="character" w:customStyle="1" w:styleId="aff0">
    <w:name w:val="日期 字符"/>
    <w:basedOn w:val="a2"/>
    <w:link w:val="aff"/>
    <w:qFormat/>
    <w:rPr>
      <w:rFonts w:ascii="宋体" w:eastAsia="宋体" w:hAnsi="宋体"/>
      <w:kern w:val="2"/>
      <w:sz w:val="24"/>
      <w:szCs w:val="24"/>
    </w:rPr>
  </w:style>
  <w:style w:type="character" w:customStyle="1" w:styleId="af0">
    <w:name w:val="文档结构图 字符"/>
    <w:basedOn w:val="a2"/>
    <w:link w:val="af"/>
    <w:qFormat/>
    <w:rPr>
      <w:rFonts w:ascii="宋体" w:eastAsia="宋体" w:hAnsi="宋体"/>
      <w:kern w:val="2"/>
      <w:sz w:val="18"/>
      <w:szCs w:val="18"/>
    </w:rPr>
  </w:style>
  <w:style w:type="character" w:customStyle="1" w:styleId="affe">
    <w:name w:val="信息标题 字符"/>
    <w:basedOn w:val="a2"/>
    <w:link w:val="affd"/>
    <w:qFormat/>
    <w:rPr>
      <w:rFonts w:ascii="宋体" w:eastAsia="宋体" w:hAnsi="宋体" w:cstheme="majorBidi"/>
      <w:kern w:val="2"/>
      <w:sz w:val="24"/>
      <w:szCs w:val="24"/>
      <w:shd w:val="pct20" w:color="auto" w:fill="auto"/>
    </w:rPr>
  </w:style>
  <w:style w:type="character" w:customStyle="1" w:styleId="28">
    <w:name w:val="正文文本 2 字符"/>
    <w:basedOn w:val="a2"/>
    <w:link w:val="27"/>
    <w:qFormat/>
    <w:rPr>
      <w:rFonts w:ascii="宋体" w:eastAsia="宋体" w:hAnsi="宋体"/>
      <w:kern w:val="2"/>
      <w:sz w:val="24"/>
      <w:szCs w:val="24"/>
    </w:rPr>
  </w:style>
  <w:style w:type="character" w:customStyle="1" w:styleId="34">
    <w:name w:val="正文文本 3 字符"/>
    <w:basedOn w:val="a2"/>
    <w:link w:val="33"/>
    <w:qFormat/>
    <w:rPr>
      <w:rFonts w:ascii="宋体" w:eastAsia="宋体" w:hAnsi="宋体"/>
      <w:kern w:val="2"/>
      <w:sz w:val="16"/>
      <w:szCs w:val="16"/>
    </w:rPr>
  </w:style>
  <w:style w:type="character" w:customStyle="1" w:styleId="af8">
    <w:name w:val="正文文本 字符"/>
    <w:basedOn w:val="a2"/>
    <w:link w:val="af7"/>
    <w:qFormat/>
    <w:rPr>
      <w:rFonts w:ascii="宋体" w:eastAsia="宋体" w:hAnsi="宋体"/>
      <w:kern w:val="2"/>
      <w:sz w:val="24"/>
      <w:szCs w:val="24"/>
    </w:rPr>
  </w:style>
  <w:style w:type="character" w:customStyle="1" w:styleId="afff3">
    <w:name w:val="正文首行缩进 字符"/>
    <w:basedOn w:val="af8"/>
    <w:link w:val="afff2"/>
    <w:qFormat/>
    <w:rPr>
      <w:rFonts w:ascii="宋体" w:eastAsia="宋体" w:hAnsi="宋体"/>
      <w:kern w:val="2"/>
      <w:sz w:val="24"/>
      <w:szCs w:val="24"/>
    </w:rPr>
  </w:style>
  <w:style w:type="character" w:customStyle="1" w:styleId="afa">
    <w:name w:val="正文文本缩进 字符"/>
    <w:basedOn w:val="a2"/>
    <w:link w:val="af9"/>
    <w:qFormat/>
    <w:rPr>
      <w:rFonts w:ascii="宋体" w:eastAsia="宋体" w:hAnsi="宋体"/>
      <w:kern w:val="2"/>
      <w:sz w:val="24"/>
      <w:szCs w:val="24"/>
    </w:rPr>
  </w:style>
  <w:style w:type="character" w:customStyle="1" w:styleId="2c">
    <w:name w:val="正文首行缩进 2 字符"/>
    <w:basedOn w:val="afa"/>
    <w:link w:val="2b"/>
    <w:qFormat/>
    <w:rPr>
      <w:rFonts w:ascii="宋体" w:eastAsia="宋体" w:hAnsi="宋体"/>
      <w:kern w:val="2"/>
      <w:sz w:val="24"/>
      <w:szCs w:val="24"/>
    </w:rPr>
  </w:style>
  <w:style w:type="character" w:customStyle="1" w:styleId="25">
    <w:name w:val="正文文本缩进 2 字符"/>
    <w:basedOn w:val="a2"/>
    <w:link w:val="24"/>
    <w:qFormat/>
    <w:rPr>
      <w:rFonts w:ascii="宋体" w:eastAsia="宋体" w:hAnsi="宋体"/>
      <w:kern w:val="2"/>
      <w:sz w:val="24"/>
      <w:szCs w:val="24"/>
    </w:rPr>
  </w:style>
  <w:style w:type="character" w:customStyle="1" w:styleId="38">
    <w:name w:val="正文文本缩进 3 字符"/>
    <w:basedOn w:val="a2"/>
    <w:link w:val="37"/>
    <w:qFormat/>
    <w:rPr>
      <w:rFonts w:ascii="宋体" w:eastAsia="宋体" w:hAnsi="宋体"/>
      <w:kern w:val="2"/>
      <w:sz w:val="16"/>
      <w:szCs w:val="16"/>
    </w:rPr>
  </w:style>
  <w:style w:type="character" w:customStyle="1" w:styleId="a9">
    <w:name w:val="注释标题 字符"/>
    <w:basedOn w:val="a2"/>
    <w:link w:val="a8"/>
    <w:qFormat/>
    <w:rPr>
      <w:rFonts w:ascii="宋体" w:eastAsia="宋体" w:hAnsi="宋体"/>
      <w:kern w:val="2"/>
      <w:sz w:val="24"/>
      <w:szCs w:val="24"/>
    </w:rPr>
  </w:style>
  <w:style w:type="paragraph" w:customStyle="1" w:styleId="affff3">
    <w:name w:val="主送对象"/>
    <w:basedOn w:val="af3"/>
    <w:qFormat/>
    <w:rPr>
      <w:rFonts w:hint="eastAsia"/>
      <w:color w:val="262626" w:themeColor="text1" w:themeTint="D9"/>
    </w:rPr>
  </w:style>
  <w:style w:type="character" w:customStyle="1" w:styleId="22">
    <w:name w:val="标题 2 字符"/>
    <w:link w:val="21"/>
    <w:rPr>
      <w:rFonts w:ascii="黑体" w:eastAsia="黑体" w:hAnsi="黑体"/>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自定义 7">
      <a:majorFont>
        <a:latin typeface="黑体"/>
        <a:ea typeface="黑体"/>
        <a:cs typeface=""/>
      </a:majorFont>
      <a:minorFont>
        <a:latin typeface="宋体"/>
        <a:ea typeface="宋体"/>
        <a:cs typeface=""/>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5887</TotalTime>
  <Pages>8</Pages>
  <Words>597</Words>
  <Characters>3405</Characters>
  <Application>Microsoft Office Word</Application>
  <DocSecurity>0</DocSecurity>
  <Lines>28</Lines>
  <Paragraphs>7</Paragraphs>
  <ScaleCrop>false</ScaleCrop>
  <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Administrator</cp:lastModifiedBy>
  <cp:revision>4</cp:revision>
  <dcterms:created xsi:type="dcterms:W3CDTF">2025-10-18T22:13:00Z</dcterms:created>
  <dcterms:modified xsi:type="dcterms:W3CDTF">2025-10-27T09:20:00Z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eyJoZGlkIjoiNGJjNTRhMmMzMzMyOTg1ZTc3NmRmNGQxMGY5Zjk4MDQiLCJ1c2VySWQiOiIxMDI1NjI0Nzg1In0=</vt:lpwstr>
  </property>
  <property fmtid="{D5CDD505-2E9C-101B-9397-08002B2CF9AE}" pid="3" name="KSOProductBuildVer">
    <vt:lpwstr>2052-12.1.0.23125</vt:lpwstr>
  </property>
  <property fmtid="{D5CDD505-2E9C-101B-9397-08002B2CF9AE}" pid="4" name="ICV">
    <vt:lpwstr>30C9F7C66265403B83131CE91F721E29_13</vt:lpwstr>
  </property>
</Properties>
</file>