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2872" w:type="dxa"/>
        <w:tblInd w:w="0" w:type="dxa"/>
        <w:tblLayout w:type="fixed"/>
        <w:tblCellMar>
          <w:top w:w="15" w:type="dxa"/>
          <w:left w:w="15" w:type="dxa"/>
          <w:bottom w:w="15" w:type="dxa"/>
          <w:right w:w="15" w:type="dxa"/>
        </w:tblCellMar>
      </w:tblPr>
      <w:tblGrid>
        <w:gridCol w:w="1992"/>
        <w:gridCol w:w="9305"/>
        <w:gridCol w:w="1575"/>
      </w:tblGrid>
      <w:tr w14:paraId="1F355212">
        <w:tblPrEx>
          <w:tblCellMar>
            <w:top w:w="15" w:type="dxa"/>
            <w:left w:w="15" w:type="dxa"/>
            <w:bottom w:w="15" w:type="dxa"/>
            <w:right w:w="15" w:type="dxa"/>
          </w:tblCellMar>
        </w:tblPrEx>
        <w:trPr>
          <w:trHeight w:val="1455" w:hRule="atLeast"/>
        </w:trPr>
        <w:tc>
          <w:tcPr>
            <w:tcW w:w="12872" w:type="dxa"/>
            <w:gridSpan w:val="3"/>
            <w:tcBorders>
              <w:bottom w:val="single" w:color="000000" w:sz="4" w:space="0"/>
            </w:tcBorders>
            <w:noWrap w:val="0"/>
            <w:vAlign w:val="center"/>
          </w:tcPr>
          <w:p w14:paraId="4CA3DBFC">
            <w:pPr>
              <w:widowControl/>
              <w:spacing w:line="580" w:lineRule="exact"/>
              <w:textAlignment w:val="center"/>
              <w:rPr>
                <w:rFonts w:hint="eastAsia" w:ascii="方正小标宋简体" w:hAnsi="方正小标宋简体" w:eastAsia="方正小标宋简体" w:cs="方正小标宋简体"/>
                <w:color w:val="000000"/>
                <w:kern w:val="0"/>
                <w:sz w:val="44"/>
                <w:szCs w:val="44"/>
                <w:lang w:eastAsia="zh-CN" w:bidi="ar"/>
              </w:rPr>
            </w:pPr>
            <w:bookmarkStart w:id="0" w:name="_GoBack"/>
            <w:bookmarkEnd w:id="0"/>
            <w:r>
              <w:rPr>
                <w:rFonts w:hint="eastAsia" w:ascii="方正小标宋简体" w:hAnsi="方正小标宋简体" w:eastAsia="方正小标宋简体" w:cs="方正小标宋简体"/>
                <w:color w:val="000000"/>
                <w:kern w:val="0"/>
                <w:sz w:val="44"/>
                <w:szCs w:val="44"/>
                <w:lang w:bidi="ar"/>
              </w:rPr>
              <w:t>附件</w:t>
            </w:r>
            <w:r>
              <w:rPr>
                <w:rFonts w:hint="eastAsia" w:ascii="方正小标宋简体" w:hAnsi="方正小标宋简体" w:eastAsia="方正小标宋简体" w:cs="方正小标宋简体"/>
                <w:color w:val="000000"/>
                <w:kern w:val="0"/>
                <w:sz w:val="44"/>
                <w:szCs w:val="44"/>
                <w:lang w:val="en-US" w:eastAsia="zh-CN" w:bidi="ar"/>
              </w:rPr>
              <w:t>8</w:t>
            </w:r>
          </w:p>
          <w:p w14:paraId="5F1A60D9">
            <w:pPr>
              <w:widowControl/>
              <w:spacing w:line="580" w:lineRule="exact"/>
              <w:jc w:val="center"/>
              <w:textAlignment w:val="center"/>
              <w:rPr>
                <w:rFonts w:hint="eastAsia" w:ascii="方正小标宋简体" w:hAnsi="方正小标宋简体" w:eastAsia="方正小标宋简体" w:cs="方正小标宋简体"/>
                <w:color w:val="000000"/>
                <w:kern w:val="0"/>
                <w:sz w:val="44"/>
                <w:szCs w:val="44"/>
                <w:lang w:bidi="ar"/>
              </w:rPr>
            </w:pPr>
          </w:p>
          <w:p w14:paraId="3CC30646">
            <w:pPr>
              <w:widowControl/>
              <w:spacing w:line="580" w:lineRule="exact"/>
              <w:jc w:val="center"/>
              <w:textAlignment w:val="center"/>
              <w:rPr>
                <w:rFonts w:ascii="仿宋" w:hAnsi="仿宋" w:eastAsia="仿宋" w:cs="黑体"/>
                <w:color w:val="000000"/>
                <w:szCs w:val="32"/>
              </w:rPr>
            </w:pPr>
            <w:r>
              <w:rPr>
                <w:rFonts w:hint="eastAsia" w:ascii="方正小标宋简体" w:hAnsi="方正小标宋简体" w:eastAsia="方正小标宋简体" w:cs="方正小标宋简体"/>
                <w:color w:val="000000"/>
                <w:kern w:val="0"/>
                <w:sz w:val="44"/>
                <w:szCs w:val="44"/>
                <w:lang w:bidi="ar"/>
              </w:rPr>
              <w:t>安徽省普通专升本联合培养工作落实情况一览表</w:t>
            </w:r>
          </w:p>
        </w:tc>
      </w:tr>
      <w:tr w14:paraId="549836AF">
        <w:tblPrEx>
          <w:tblCellMar>
            <w:top w:w="15" w:type="dxa"/>
            <w:left w:w="15" w:type="dxa"/>
            <w:bottom w:w="15" w:type="dxa"/>
            <w:right w:w="15" w:type="dxa"/>
          </w:tblCellMar>
        </w:tblPrEx>
        <w:trPr>
          <w:trHeight w:val="285"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1B9FF6">
            <w:pPr>
              <w:widowControl/>
              <w:spacing w:line="580" w:lineRule="exact"/>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项目</w:t>
            </w:r>
          </w:p>
        </w:tc>
        <w:tc>
          <w:tcPr>
            <w:tcW w:w="930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68FD8352">
            <w:pPr>
              <w:widowControl/>
              <w:spacing w:line="580" w:lineRule="exact"/>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观测点</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A38BDEA">
            <w:pPr>
              <w:widowControl/>
              <w:spacing w:line="580" w:lineRule="exact"/>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落实情况</w:t>
            </w:r>
          </w:p>
        </w:tc>
      </w:tr>
      <w:tr w14:paraId="7E498E57">
        <w:tblPrEx>
          <w:tblCellMar>
            <w:top w:w="15" w:type="dxa"/>
            <w:left w:w="15" w:type="dxa"/>
            <w:bottom w:w="15" w:type="dxa"/>
            <w:right w:w="15" w:type="dxa"/>
          </w:tblCellMar>
        </w:tblPrEx>
        <w:trPr>
          <w:trHeight w:val="780" w:hRule="atLeast"/>
        </w:trPr>
        <w:tc>
          <w:tcPr>
            <w:tcW w:w="1992" w:type="dxa"/>
            <w:vMerge w:val="restart"/>
            <w:tcBorders>
              <w:top w:val="single" w:color="000000" w:sz="4" w:space="0"/>
              <w:left w:val="single" w:color="000000" w:sz="4" w:space="0"/>
              <w:right w:val="single" w:color="000000" w:sz="4" w:space="0"/>
            </w:tcBorders>
            <w:shd w:val="clear" w:color="auto" w:fill="auto"/>
            <w:noWrap w:val="0"/>
            <w:vAlign w:val="center"/>
          </w:tcPr>
          <w:p w14:paraId="0EB1212C">
            <w:pPr>
              <w:spacing w:line="580" w:lineRule="exact"/>
              <w:jc w:val="center"/>
              <w:textAlignment w:val="center"/>
              <w:rPr>
                <w:rFonts w:hint="eastAsia" w:ascii="仿宋" w:hAnsi="仿宋" w:eastAsia="仿宋" w:cs="宋体"/>
                <w:b/>
                <w:color w:val="000000"/>
                <w:kern w:val="0"/>
                <w:sz w:val="24"/>
                <w:lang w:bidi="ar"/>
              </w:rPr>
            </w:pPr>
            <w:r>
              <w:rPr>
                <w:rFonts w:hint="eastAsia" w:ascii="仿宋" w:hAnsi="仿宋" w:eastAsia="仿宋" w:cs="宋体"/>
                <w:b/>
                <w:color w:val="000000"/>
                <w:kern w:val="0"/>
                <w:sz w:val="24"/>
                <w:lang w:bidi="ar"/>
              </w:rPr>
              <w:t>1.教育教学管理</w:t>
            </w:r>
          </w:p>
        </w:tc>
        <w:tc>
          <w:tcPr>
            <w:tcW w:w="930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52EC1F2E">
            <w:pPr>
              <w:widowControl/>
              <w:spacing w:line="580" w:lineRule="exact"/>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r>
              <w:rPr>
                <w:rFonts w:ascii="仿宋" w:hAnsi="仿宋" w:eastAsia="仿宋" w:cs="仿宋"/>
                <w:color w:val="000000"/>
                <w:kern w:val="0"/>
                <w:sz w:val="28"/>
                <w:szCs w:val="28"/>
                <w:lang w:bidi="ar"/>
              </w:rPr>
              <w:t>.</w:t>
            </w:r>
            <w:r>
              <w:rPr>
                <w:rFonts w:hint="eastAsia" w:ascii="仿宋" w:hAnsi="仿宋" w:eastAsia="仿宋" w:cs="仿宋"/>
                <w:color w:val="000000"/>
                <w:kern w:val="0"/>
                <w:sz w:val="28"/>
                <w:szCs w:val="28"/>
                <w:lang w:bidi="ar"/>
              </w:rPr>
              <w:t>本科高校与高职院校均应配备专人负责专升本联合培养工作，高职院校要指定专门的管理部门承担管理职能；</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C3606ED">
            <w:pPr>
              <w:spacing w:line="580" w:lineRule="exact"/>
              <w:jc w:val="center"/>
              <w:rPr>
                <w:rFonts w:hint="eastAsia" w:ascii="仿宋" w:hAnsi="仿宋" w:eastAsia="仿宋" w:cs="黑体"/>
                <w:color w:val="000000"/>
                <w:sz w:val="24"/>
              </w:rPr>
            </w:pPr>
          </w:p>
        </w:tc>
      </w:tr>
      <w:tr w14:paraId="2825AF1C">
        <w:tblPrEx>
          <w:tblCellMar>
            <w:top w:w="15" w:type="dxa"/>
            <w:left w:w="15" w:type="dxa"/>
            <w:bottom w:w="15" w:type="dxa"/>
            <w:right w:w="15" w:type="dxa"/>
          </w:tblCellMar>
        </w:tblPrEx>
        <w:trPr>
          <w:trHeight w:val="780" w:hRule="atLeast"/>
        </w:trPr>
        <w:tc>
          <w:tcPr>
            <w:tcW w:w="1992" w:type="dxa"/>
            <w:vMerge w:val="continue"/>
            <w:tcBorders>
              <w:left w:val="single" w:color="000000" w:sz="4" w:space="0"/>
              <w:right w:val="single" w:color="000000" w:sz="4" w:space="0"/>
            </w:tcBorders>
            <w:shd w:val="clear" w:color="auto" w:fill="auto"/>
            <w:noWrap w:val="0"/>
            <w:vAlign w:val="center"/>
          </w:tcPr>
          <w:p w14:paraId="376018A1">
            <w:pPr>
              <w:widowControl/>
              <w:spacing w:line="580" w:lineRule="exact"/>
              <w:jc w:val="center"/>
              <w:textAlignment w:val="center"/>
              <w:rPr>
                <w:rFonts w:hint="eastAsia" w:ascii="仿宋" w:hAnsi="仿宋" w:eastAsia="仿宋" w:cs="宋体"/>
                <w:b/>
                <w:color w:val="000000"/>
                <w:sz w:val="24"/>
              </w:rPr>
            </w:pPr>
          </w:p>
        </w:tc>
        <w:tc>
          <w:tcPr>
            <w:tcW w:w="930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3840EDF3">
            <w:pPr>
              <w:widowControl/>
              <w:spacing w:line="580" w:lineRule="exact"/>
              <w:jc w:val="left"/>
              <w:textAlignment w:val="center"/>
              <w:rPr>
                <w:rFonts w:ascii="仿宋" w:hAnsi="仿宋" w:eastAsia="仿宋" w:cs="仿宋"/>
                <w:color w:val="000000"/>
                <w:sz w:val="28"/>
                <w:szCs w:val="28"/>
              </w:rPr>
            </w:pPr>
            <w:r>
              <w:rPr>
                <w:rFonts w:ascii="仿宋" w:hAnsi="仿宋" w:eastAsia="仿宋" w:cs="仿宋"/>
                <w:color w:val="000000"/>
                <w:kern w:val="0"/>
                <w:sz w:val="28"/>
                <w:szCs w:val="28"/>
                <w:lang w:bidi="ar"/>
              </w:rPr>
              <w:t>2</w:t>
            </w:r>
            <w:r>
              <w:rPr>
                <w:rFonts w:hint="eastAsia" w:ascii="仿宋" w:hAnsi="仿宋" w:eastAsia="仿宋" w:cs="仿宋"/>
                <w:color w:val="000000"/>
                <w:kern w:val="0"/>
                <w:sz w:val="28"/>
                <w:szCs w:val="28"/>
                <w:lang w:bidi="ar"/>
              </w:rPr>
              <w:t>.本科高校对高职院校进行教育教学工作的指导和督查，每学期至少2次；</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960EEC6">
            <w:pPr>
              <w:spacing w:line="580" w:lineRule="exact"/>
              <w:jc w:val="center"/>
              <w:rPr>
                <w:rFonts w:hint="eastAsia" w:ascii="仿宋" w:hAnsi="仿宋" w:eastAsia="仿宋" w:cs="黑体"/>
                <w:color w:val="000000"/>
                <w:sz w:val="24"/>
              </w:rPr>
            </w:pPr>
          </w:p>
        </w:tc>
      </w:tr>
      <w:tr w14:paraId="63BEBF7C">
        <w:tblPrEx>
          <w:tblCellMar>
            <w:top w:w="15" w:type="dxa"/>
            <w:left w:w="15" w:type="dxa"/>
            <w:bottom w:w="15" w:type="dxa"/>
            <w:right w:w="15" w:type="dxa"/>
          </w:tblCellMar>
        </w:tblPrEx>
        <w:trPr>
          <w:trHeight w:val="375" w:hRule="atLeast"/>
        </w:trPr>
        <w:tc>
          <w:tcPr>
            <w:tcW w:w="1992" w:type="dxa"/>
            <w:vMerge w:val="continue"/>
            <w:tcBorders>
              <w:left w:val="single" w:color="000000" w:sz="4" w:space="0"/>
              <w:right w:val="single" w:color="000000" w:sz="4" w:space="0"/>
            </w:tcBorders>
            <w:shd w:val="clear" w:color="auto" w:fill="auto"/>
            <w:noWrap w:val="0"/>
            <w:vAlign w:val="center"/>
          </w:tcPr>
          <w:p w14:paraId="0644DE02">
            <w:pPr>
              <w:spacing w:line="580" w:lineRule="exact"/>
              <w:jc w:val="center"/>
              <w:rPr>
                <w:rFonts w:hint="eastAsia" w:ascii="仿宋" w:hAnsi="仿宋" w:eastAsia="仿宋" w:cs="宋体"/>
                <w:b/>
                <w:color w:val="000000"/>
                <w:sz w:val="24"/>
              </w:rPr>
            </w:pPr>
          </w:p>
        </w:tc>
        <w:tc>
          <w:tcPr>
            <w:tcW w:w="930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763B7014">
            <w:pPr>
              <w:widowControl/>
              <w:spacing w:line="580" w:lineRule="exact"/>
              <w:jc w:val="left"/>
              <w:textAlignment w:val="center"/>
              <w:rPr>
                <w:rFonts w:hint="eastAsia" w:ascii="仿宋" w:hAnsi="仿宋" w:eastAsia="仿宋" w:cs="仿宋"/>
                <w:color w:val="000000"/>
                <w:sz w:val="28"/>
                <w:szCs w:val="28"/>
              </w:rPr>
            </w:pPr>
            <w:r>
              <w:rPr>
                <w:rFonts w:ascii="仿宋" w:hAnsi="仿宋" w:eastAsia="仿宋" w:cs="仿宋"/>
                <w:color w:val="000000"/>
                <w:kern w:val="0"/>
                <w:sz w:val="28"/>
                <w:szCs w:val="28"/>
                <w:lang w:bidi="ar"/>
              </w:rPr>
              <w:t>3</w:t>
            </w:r>
            <w:r>
              <w:rPr>
                <w:rFonts w:hint="eastAsia" w:ascii="仿宋" w:hAnsi="仿宋" w:eastAsia="仿宋" w:cs="仿宋"/>
                <w:color w:val="000000"/>
                <w:kern w:val="0"/>
                <w:sz w:val="28"/>
                <w:szCs w:val="28"/>
                <w:lang w:bidi="ar"/>
              </w:rPr>
              <w:t xml:space="preserve">.本科高校与高职院校进行课程研讨，每学期至少2次，每次不少于两个小时；   </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C67F9B2">
            <w:pPr>
              <w:spacing w:line="580" w:lineRule="exact"/>
              <w:jc w:val="center"/>
              <w:rPr>
                <w:rFonts w:hint="eastAsia" w:ascii="仿宋" w:hAnsi="仿宋" w:eastAsia="仿宋" w:cs="黑体"/>
                <w:color w:val="000000"/>
                <w:sz w:val="24"/>
              </w:rPr>
            </w:pPr>
          </w:p>
        </w:tc>
      </w:tr>
      <w:tr w14:paraId="3F135AFC">
        <w:tblPrEx>
          <w:tblCellMar>
            <w:top w:w="15" w:type="dxa"/>
            <w:left w:w="15" w:type="dxa"/>
            <w:bottom w:w="15" w:type="dxa"/>
            <w:right w:w="15" w:type="dxa"/>
          </w:tblCellMar>
        </w:tblPrEx>
        <w:trPr>
          <w:trHeight w:val="375" w:hRule="atLeast"/>
        </w:trPr>
        <w:tc>
          <w:tcPr>
            <w:tcW w:w="1992" w:type="dxa"/>
            <w:vMerge w:val="continue"/>
            <w:tcBorders>
              <w:left w:val="single" w:color="000000" w:sz="4" w:space="0"/>
              <w:right w:val="single" w:color="000000" w:sz="4" w:space="0"/>
            </w:tcBorders>
            <w:shd w:val="clear" w:color="auto" w:fill="auto"/>
            <w:noWrap w:val="0"/>
            <w:vAlign w:val="center"/>
          </w:tcPr>
          <w:p w14:paraId="23F8530B">
            <w:pPr>
              <w:spacing w:line="580" w:lineRule="exact"/>
              <w:jc w:val="center"/>
              <w:rPr>
                <w:rFonts w:hint="eastAsia" w:ascii="仿宋" w:hAnsi="仿宋" w:eastAsia="仿宋" w:cs="宋体"/>
                <w:b/>
                <w:color w:val="000000"/>
                <w:sz w:val="24"/>
              </w:rPr>
            </w:pPr>
          </w:p>
        </w:tc>
        <w:tc>
          <w:tcPr>
            <w:tcW w:w="930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20269DF5">
            <w:pPr>
              <w:widowControl/>
              <w:spacing w:line="580" w:lineRule="exact"/>
              <w:jc w:val="left"/>
              <w:textAlignment w:val="center"/>
              <w:rPr>
                <w:rFonts w:hint="eastAsia" w:ascii="仿宋" w:hAnsi="仿宋" w:eastAsia="仿宋" w:cs="仿宋"/>
                <w:color w:val="000000"/>
                <w:sz w:val="28"/>
                <w:szCs w:val="28"/>
              </w:rPr>
            </w:pPr>
            <w:r>
              <w:rPr>
                <w:rFonts w:ascii="仿宋" w:hAnsi="仿宋" w:eastAsia="仿宋" w:cs="仿宋"/>
                <w:color w:val="000000"/>
                <w:kern w:val="0"/>
                <w:sz w:val="28"/>
                <w:szCs w:val="28"/>
                <w:lang w:bidi="ar"/>
              </w:rPr>
              <w:t>4</w:t>
            </w:r>
            <w:r>
              <w:rPr>
                <w:rFonts w:hint="eastAsia" w:ascii="仿宋" w:hAnsi="仿宋" w:eastAsia="仿宋" w:cs="仿宋"/>
                <w:color w:val="000000"/>
                <w:kern w:val="0"/>
                <w:sz w:val="28"/>
                <w:szCs w:val="28"/>
                <w:lang w:bidi="ar"/>
              </w:rPr>
              <w:t>.本科高校对高职院校进行教科研指导，每学期至少2次，每次不少于两个小时；</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C72F501">
            <w:pPr>
              <w:spacing w:line="580" w:lineRule="exact"/>
              <w:jc w:val="center"/>
              <w:rPr>
                <w:rFonts w:hint="eastAsia" w:ascii="仿宋" w:hAnsi="仿宋" w:eastAsia="仿宋" w:cs="黑体"/>
                <w:color w:val="000000"/>
                <w:sz w:val="24"/>
              </w:rPr>
            </w:pPr>
          </w:p>
        </w:tc>
      </w:tr>
      <w:tr w14:paraId="12540F46">
        <w:tblPrEx>
          <w:tblCellMar>
            <w:top w:w="15" w:type="dxa"/>
            <w:left w:w="15" w:type="dxa"/>
            <w:bottom w:w="15" w:type="dxa"/>
            <w:right w:w="15" w:type="dxa"/>
          </w:tblCellMar>
        </w:tblPrEx>
        <w:trPr>
          <w:trHeight w:val="750" w:hRule="atLeast"/>
        </w:trPr>
        <w:tc>
          <w:tcPr>
            <w:tcW w:w="1992" w:type="dxa"/>
            <w:vMerge w:val="continue"/>
            <w:tcBorders>
              <w:left w:val="single" w:color="000000" w:sz="4" w:space="0"/>
              <w:right w:val="single" w:color="000000" w:sz="4" w:space="0"/>
            </w:tcBorders>
            <w:shd w:val="clear" w:color="auto" w:fill="auto"/>
            <w:noWrap w:val="0"/>
            <w:vAlign w:val="center"/>
          </w:tcPr>
          <w:p w14:paraId="00890273">
            <w:pPr>
              <w:spacing w:line="580" w:lineRule="exact"/>
              <w:jc w:val="center"/>
              <w:rPr>
                <w:rFonts w:hint="eastAsia" w:ascii="仿宋" w:hAnsi="仿宋" w:eastAsia="仿宋" w:cs="宋体"/>
                <w:b/>
                <w:color w:val="000000"/>
                <w:sz w:val="24"/>
              </w:rPr>
            </w:pPr>
          </w:p>
        </w:tc>
        <w:tc>
          <w:tcPr>
            <w:tcW w:w="930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6785E2E1">
            <w:pPr>
              <w:widowControl/>
              <w:spacing w:line="580" w:lineRule="exact"/>
              <w:jc w:val="left"/>
              <w:textAlignment w:val="center"/>
              <w:rPr>
                <w:rFonts w:hint="eastAsia" w:ascii="仿宋" w:hAnsi="仿宋" w:eastAsia="仿宋" w:cs="仿宋"/>
                <w:color w:val="000000"/>
                <w:sz w:val="28"/>
                <w:szCs w:val="28"/>
              </w:rPr>
            </w:pPr>
            <w:r>
              <w:rPr>
                <w:rFonts w:ascii="仿宋" w:hAnsi="仿宋" w:eastAsia="仿宋" w:cs="仿宋"/>
                <w:color w:val="000000"/>
                <w:kern w:val="0"/>
                <w:sz w:val="28"/>
                <w:szCs w:val="28"/>
                <w:lang w:bidi="ar"/>
              </w:rPr>
              <w:t>5</w:t>
            </w:r>
            <w:r>
              <w:rPr>
                <w:rFonts w:hint="eastAsia" w:ascii="仿宋" w:hAnsi="仿宋" w:eastAsia="仿宋" w:cs="仿宋"/>
                <w:color w:val="000000"/>
                <w:kern w:val="0"/>
                <w:sz w:val="28"/>
                <w:szCs w:val="28"/>
                <w:lang w:bidi="ar"/>
              </w:rPr>
              <w:t>.本科高校与高职院校进行校级层面对口部门的对接交流，每学期至少2次；</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0C3D0B7">
            <w:pPr>
              <w:spacing w:line="580" w:lineRule="exact"/>
              <w:jc w:val="center"/>
              <w:rPr>
                <w:rFonts w:hint="eastAsia" w:ascii="仿宋" w:hAnsi="仿宋" w:eastAsia="仿宋" w:cs="黑体"/>
                <w:color w:val="000000"/>
                <w:sz w:val="24"/>
              </w:rPr>
            </w:pPr>
          </w:p>
        </w:tc>
      </w:tr>
      <w:tr w14:paraId="19780893">
        <w:tblPrEx>
          <w:tblCellMar>
            <w:top w:w="15" w:type="dxa"/>
            <w:left w:w="15" w:type="dxa"/>
            <w:bottom w:w="15" w:type="dxa"/>
            <w:right w:w="15" w:type="dxa"/>
          </w:tblCellMar>
        </w:tblPrEx>
        <w:trPr>
          <w:trHeight w:val="885" w:hRule="atLeast"/>
        </w:trPr>
        <w:tc>
          <w:tcPr>
            <w:tcW w:w="1992" w:type="dxa"/>
            <w:vMerge w:val="continue"/>
            <w:tcBorders>
              <w:left w:val="single" w:color="000000" w:sz="4" w:space="0"/>
              <w:right w:val="single" w:color="000000" w:sz="4" w:space="0"/>
            </w:tcBorders>
            <w:shd w:val="clear" w:color="auto" w:fill="auto"/>
            <w:noWrap w:val="0"/>
            <w:vAlign w:val="center"/>
          </w:tcPr>
          <w:p w14:paraId="589E2494">
            <w:pPr>
              <w:spacing w:line="580" w:lineRule="exact"/>
              <w:jc w:val="center"/>
              <w:rPr>
                <w:rFonts w:hint="eastAsia" w:ascii="仿宋" w:hAnsi="仿宋" w:eastAsia="仿宋" w:cs="宋体"/>
                <w:b/>
                <w:color w:val="000000"/>
                <w:sz w:val="24"/>
              </w:rPr>
            </w:pPr>
          </w:p>
        </w:tc>
        <w:tc>
          <w:tcPr>
            <w:tcW w:w="930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3265C5B8">
            <w:pPr>
              <w:widowControl/>
              <w:spacing w:line="580" w:lineRule="exact"/>
              <w:jc w:val="left"/>
              <w:textAlignment w:val="center"/>
              <w:rPr>
                <w:rFonts w:hint="eastAsia" w:ascii="仿宋" w:hAnsi="仿宋" w:eastAsia="仿宋" w:cs="仿宋"/>
                <w:color w:val="000000"/>
                <w:sz w:val="28"/>
                <w:szCs w:val="28"/>
              </w:rPr>
            </w:pPr>
            <w:r>
              <w:rPr>
                <w:rFonts w:ascii="仿宋" w:hAnsi="仿宋" w:eastAsia="仿宋" w:cs="仿宋"/>
                <w:color w:val="000000"/>
                <w:kern w:val="0"/>
                <w:sz w:val="28"/>
                <w:szCs w:val="28"/>
                <w:lang w:bidi="ar"/>
              </w:rPr>
              <w:t>6</w:t>
            </w:r>
            <w:r>
              <w:rPr>
                <w:rFonts w:hint="eastAsia" w:ascii="仿宋" w:hAnsi="仿宋" w:eastAsia="仿宋" w:cs="仿宋"/>
                <w:color w:val="000000"/>
                <w:kern w:val="0"/>
                <w:sz w:val="28"/>
                <w:szCs w:val="28"/>
                <w:lang w:bidi="ar"/>
              </w:rPr>
              <w:t>.落实毕业设计（论文）全程的双导师（本科高校和高职院校各1位教师）指导制。</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5054074">
            <w:pPr>
              <w:spacing w:line="580" w:lineRule="exact"/>
              <w:jc w:val="center"/>
              <w:rPr>
                <w:rFonts w:hint="eastAsia" w:ascii="仿宋" w:hAnsi="仿宋" w:eastAsia="仿宋" w:cs="黑体"/>
                <w:color w:val="000000"/>
                <w:sz w:val="24"/>
              </w:rPr>
            </w:pPr>
          </w:p>
        </w:tc>
      </w:tr>
      <w:tr w14:paraId="03A7B419">
        <w:tblPrEx>
          <w:tblCellMar>
            <w:top w:w="15" w:type="dxa"/>
            <w:left w:w="15" w:type="dxa"/>
            <w:bottom w:w="15" w:type="dxa"/>
            <w:right w:w="15" w:type="dxa"/>
          </w:tblCellMar>
        </w:tblPrEx>
        <w:trPr>
          <w:trHeight w:val="870" w:hRule="atLeast"/>
        </w:trPr>
        <w:tc>
          <w:tcPr>
            <w:tcW w:w="1992" w:type="dxa"/>
            <w:vMerge w:val="restart"/>
            <w:tcBorders>
              <w:left w:val="single" w:color="000000" w:sz="4" w:space="0"/>
              <w:bottom w:val="single" w:color="000000" w:sz="4" w:space="0"/>
              <w:right w:val="single" w:color="000000" w:sz="4" w:space="0"/>
            </w:tcBorders>
            <w:shd w:val="clear" w:color="auto" w:fill="auto"/>
            <w:noWrap w:val="0"/>
            <w:vAlign w:val="center"/>
          </w:tcPr>
          <w:p w14:paraId="277494E9">
            <w:pPr>
              <w:widowControl/>
              <w:spacing w:line="580" w:lineRule="exact"/>
              <w:jc w:val="center"/>
              <w:textAlignment w:val="center"/>
              <w:rPr>
                <w:rFonts w:hint="eastAsia" w:ascii="仿宋" w:hAnsi="仿宋" w:eastAsia="仿宋" w:cs="宋体"/>
                <w:b/>
                <w:color w:val="000000"/>
                <w:sz w:val="24"/>
              </w:rPr>
            </w:pPr>
            <w:r>
              <w:rPr>
                <w:rFonts w:hint="eastAsia" w:ascii="仿宋" w:hAnsi="仿宋" w:eastAsia="仿宋" w:cs="宋体"/>
                <w:b/>
                <w:color w:val="000000"/>
                <w:kern w:val="0"/>
                <w:sz w:val="24"/>
                <w:lang w:bidi="ar"/>
              </w:rPr>
              <w:t>2.师资队伍与质量管理</w:t>
            </w:r>
          </w:p>
        </w:tc>
        <w:tc>
          <w:tcPr>
            <w:tcW w:w="930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513D6269">
            <w:pPr>
              <w:widowControl/>
              <w:spacing w:line="580" w:lineRule="exact"/>
              <w:jc w:val="left"/>
              <w:textAlignment w:val="center"/>
              <w:rPr>
                <w:rFonts w:ascii="仿宋" w:hAnsi="仿宋" w:eastAsia="仿宋" w:cs="华文仿宋"/>
                <w:color w:val="000000"/>
                <w:sz w:val="28"/>
                <w:szCs w:val="28"/>
              </w:rPr>
            </w:pPr>
            <w:r>
              <w:rPr>
                <w:rFonts w:ascii="仿宋" w:hAnsi="仿宋" w:eastAsia="仿宋" w:cs="华文仿宋"/>
                <w:color w:val="000000"/>
                <w:kern w:val="0"/>
                <w:sz w:val="28"/>
                <w:szCs w:val="28"/>
                <w:lang w:bidi="ar"/>
              </w:rPr>
              <w:t>7</w:t>
            </w:r>
            <w:r>
              <w:rPr>
                <w:rFonts w:hint="eastAsia" w:ascii="仿宋" w:hAnsi="仿宋" w:eastAsia="仿宋" w:cs="华文仿宋"/>
                <w:color w:val="000000"/>
                <w:kern w:val="0"/>
                <w:sz w:val="28"/>
                <w:szCs w:val="28"/>
                <w:lang w:bidi="ar"/>
              </w:rPr>
              <w:t>.本科高校与高职院校教师针对核心课程进行集体备课或教学交流，每学期每个专业至少2次，</w:t>
            </w:r>
            <w:r>
              <w:rPr>
                <w:rFonts w:hint="eastAsia" w:ascii="仿宋" w:hAnsi="仿宋" w:eastAsia="仿宋" w:cs="仿宋"/>
                <w:color w:val="000000"/>
                <w:kern w:val="0"/>
                <w:sz w:val="28"/>
                <w:szCs w:val="28"/>
                <w:lang w:bidi="ar"/>
              </w:rPr>
              <w:t>每次不少于两个小时</w:t>
            </w:r>
            <w:r>
              <w:rPr>
                <w:rFonts w:hint="eastAsia" w:ascii="仿宋" w:hAnsi="仿宋" w:eastAsia="仿宋" w:cs="华文仿宋"/>
                <w:color w:val="000000"/>
                <w:kern w:val="0"/>
                <w:sz w:val="28"/>
                <w:szCs w:val="28"/>
                <w:lang w:bidi="ar"/>
              </w:rPr>
              <w:t xml:space="preserve">； </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DBC52C4">
            <w:pPr>
              <w:spacing w:line="580" w:lineRule="exact"/>
              <w:jc w:val="center"/>
              <w:rPr>
                <w:rFonts w:hint="eastAsia" w:ascii="仿宋" w:hAnsi="仿宋" w:eastAsia="仿宋" w:cs="宋体"/>
                <w:color w:val="000000"/>
                <w:sz w:val="24"/>
              </w:rPr>
            </w:pPr>
          </w:p>
        </w:tc>
      </w:tr>
      <w:tr w14:paraId="17CD1D95">
        <w:tblPrEx>
          <w:tblCellMar>
            <w:top w:w="15" w:type="dxa"/>
            <w:left w:w="15" w:type="dxa"/>
            <w:bottom w:w="15" w:type="dxa"/>
            <w:right w:w="15" w:type="dxa"/>
          </w:tblCellMar>
        </w:tblPrEx>
        <w:trPr>
          <w:trHeight w:val="1230" w:hRule="atLeast"/>
        </w:trPr>
        <w:tc>
          <w:tcPr>
            <w:tcW w:w="1992" w:type="dxa"/>
            <w:vMerge w:val="continue"/>
            <w:tcBorders>
              <w:left w:val="single" w:color="000000" w:sz="4" w:space="0"/>
              <w:bottom w:val="single" w:color="000000" w:sz="4" w:space="0"/>
              <w:right w:val="single" w:color="000000" w:sz="4" w:space="0"/>
            </w:tcBorders>
            <w:shd w:val="clear" w:color="auto" w:fill="auto"/>
            <w:noWrap w:val="0"/>
            <w:vAlign w:val="center"/>
          </w:tcPr>
          <w:p w14:paraId="0F20D05F">
            <w:pPr>
              <w:spacing w:line="580" w:lineRule="exact"/>
              <w:jc w:val="center"/>
              <w:rPr>
                <w:rFonts w:hint="eastAsia" w:ascii="仿宋" w:hAnsi="仿宋" w:eastAsia="仿宋" w:cs="宋体"/>
                <w:b/>
                <w:color w:val="000000"/>
                <w:sz w:val="24"/>
              </w:rPr>
            </w:pPr>
          </w:p>
        </w:tc>
        <w:tc>
          <w:tcPr>
            <w:tcW w:w="930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3A308750">
            <w:pPr>
              <w:widowControl/>
              <w:spacing w:line="580" w:lineRule="exact"/>
              <w:jc w:val="left"/>
              <w:textAlignment w:val="center"/>
              <w:rPr>
                <w:rFonts w:hint="eastAsia" w:ascii="仿宋" w:hAnsi="仿宋" w:eastAsia="仿宋" w:cs="华文仿宋"/>
                <w:color w:val="000000"/>
                <w:sz w:val="28"/>
                <w:szCs w:val="28"/>
              </w:rPr>
            </w:pPr>
            <w:r>
              <w:rPr>
                <w:rFonts w:ascii="仿宋" w:hAnsi="仿宋" w:eastAsia="仿宋" w:cs="华文仿宋"/>
                <w:color w:val="000000"/>
                <w:kern w:val="0"/>
                <w:sz w:val="28"/>
                <w:szCs w:val="28"/>
                <w:lang w:bidi="ar"/>
              </w:rPr>
              <w:t>8</w:t>
            </w:r>
            <w:r>
              <w:rPr>
                <w:rFonts w:hint="eastAsia" w:ascii="仿宋" w:hAnsi="仿宋" w:eastAsia="仿宋" w:cs="华文仿宋"/>
                <w:color w:val="000000"/>
                <w:kern w:val="0"/>
                <w:sz w:val="28"/>
                <w:szCs w:val="28"/>
                <w:lang w:bidi="ar"/>
              </w:rPr>
              <w:t>.本科高校安排教学经验丰富的教师承担或共同承担联合培养专业的核心课程教学任务，每学期每个专业至少2门，高职院校组织专业教师担任助教；</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497C6E5">
            <w:pPr>
              <w:spacing w:line="580" w:lineRule="exact"/>
              <w:jc w:val="center"/>
              <w:rPr>
                <w:rFonts w:hint="eastAsia" w:ascii="仿宋" w:hAnsi="仿宋" w:eastAsia="仿宋" w:cs="宋体"/>
                <w:color w:val="000000"/>
                <w:sz w:val="24"/>
              </w:rPr>
            </w:pPr>
          </w:p>
        </w:tc>
      </w:tr>
      <w:tr w14:paraId="11352996">
        <w:tblPrEx>
          <w:tblCellMar>
            <w:top w:w="15" w:type="dxa"/>
            <w:left w:w="15" w:type="dxa"/>
            <w:bottom w:w="15" w:type="dxa"/>
            <w:right w:w="15" w:type="dxa"/>
          </w:tblCellMar>
        </w:tblPrEx>
        <w:trPr>
          <w:trHeight w:val="720" w:hRule="atLeast"/>
        </w:trPr>
        <w:tc>
          <w:tcPr>
            <w:tcW w:w="1992" w:type="dxa"/>
            <w:vMerge w:val="continue"/>
            <w:tcBorders>
              <w:left w:val="single" w:color="000000" w:sz="4" w:space="0"/>
              <w:bottom w:val="single" w:color="000000" w:sz="4" w:space="0"/>
              <w:right w:val="single" w:color="000000" w:sz="4" w:space="0"/>
            </w:tcBorders>
            <w:shd w:val="clear" w:color="auto" w:fill="auto"/>
            <w:noWrap w:val="0"/>
            <w:vAlign w:val="center"/>
          </w:tcPr>
          <w:p w14:paraId="0EC9153F">
            <w:pPr>
              <w:spacing w:line="580" w:lineRule="exact"/>
              <w:jc w:val="center"/>
              <w:rPr>
                <w:rFonts w:hint="eastAsia" w:ascii="仿宋" w:hAnsi="仿宋" w:eastAsia="仿宋" w:cs="宋体"/>
                <w:b/>
                <w:color w:val="000000"/>
                <w:sz w:val="24"/>
              </w:rPr>
            </w:pPr>
          </w:p>
        </w:tc>
        <w:tc>
          <w:tcPr>
            <w:tcW w:w="930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36F57760">
            <w:pPr>
              <w:widowControl/>
              <w:spacing w:line="580" w:lineRule="exact"/>
              <w:jc w:val="left"/>
              <w:textAlignment w:val="center"/>
              <w:rPr>
                <w:rFonts w:ascii="仿宋" w:hAnsi="仿宋" w:eastAsia="仿宋" w:cs="华文仿宋"/>
                <w:color w:val="000000"/>
                <w:kern w:val="0"/>
                <w:sz w:val="28"/>
                <w:szCs w:val="28"/>
                <w:lang w:bidi="ar"/>
              </w:rPr>
            </w:pPr>
            <w:r>
              <w:rPr>
                <w:rFonts w:ascii="仿宋" w:hAnsi="仿宋" w:eastAsia="仿宋" w:cs="华文仿宋"/>
                <w:color w:val="000000"/>
                <w:kern w:val="0"/>
                <w:sz w:val="28"/>
                <w:szCs w:val="28"/>
                <w:lang w:bidi="ar"/>
              </w:rPr>
              <w:t>9</w:t>
            </w:r>
            <w:r>
              <w:rPr>
                <w:rFonts w:hint="eastAsia" w:ascii="仿宋" w:hAnsi="仿宋" w:eastAsia="仿宋" w:cs="华文仿宋"/>
                <w:color w:val="000000"/>
                <w:kern w:val="0"/>
                <w:sz w:val="28"/>
                <w:szCs w:val="28"/>
                <w:lang w:bidi="ar"/>
              </w:rPr>
              <w:t xml:space="preserve">.高职院校每学期派至少1-2名联合培养专业的教师到本科高校进行学习交流；  </w:t>
            </w:r>
          </w:p>
          <w:p w14:paraId="27DBE12F">
            <w:pPr>
              <w:widowControl/>
              <w:spacing w:line="580" w:lineRule="exact"/>
              <w:jc w:val="left"/>
              <w:textAlignment w:val="center"/>
              <w:rPr>
                <w:rFonts w:hint="eastAsia" w:ascii="仿宋" w:hAnsi="仿宋" w:eastAsia="仿宋" w:cs="华文仿宋"/>
                <w:color w:val="000000"/>
                <w:sz w:val="28"/>
                <w:szCs w:val="28"/>
              </w:rPr>
            </w:pPr>
            <w:r>
              <w:rPr>
                <w:rFonts w:ascii="仿宋" w:hAnsi="仿宋" w:eastAsia="仿宋" w:cs="华文仿宋"/>
                <w:color w:val="000000"/>
                <w:sz w:val="28"/>
                <w:szCs w:val="28"/>
              </w:rPr>
              <w:t>10.</w:t>
            </w:r>
            <w:r>
              <w:rPr>
                <w:rFonts w:hint="eastAsia" w:ascii="仿宋" w:hAnsi="仿宋" w:eastAsia="仿宋" w:cs="华文仿宋"/>
                <w:color w:val="000000"/>
                <w:sz w:val="28"/>
                <w:szCs w:val="28"/>
              </w:rPr>
              <w:t>高职院校组织与专业学习相关的学术讲座，每学期不少于2次。</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325099E">
            <w:pPr>
              <w:spacing w:line="580" w:lineRule="exact"/>
              <w:jc w:val="center"/>
              <w:rPr>
                <w:rFonts w:hint="eastAsia" w:ascii="仿宋" w:hAnsi="仿宋" w:eastAsia="仿宋" w:cs="宋体"/>
                <w:color w:val="000000"/>
                <w:sz w:val="24"/>
              </w:rPr>
            </w:pPr>
          </w:p>
        </w:tc>
      </w:tr>
      <w:tr w14:paraId="2B07C260">
        <w:tblPrEx>
          <w:tblCellMar>
            <w:top w:w="15" w:type="dxa"/>
            <w:left w:w="15" w:type="dxa"/>
            <w:bottom w:w="15" w:type="dxa"/>
            <w:right w:w="15" w:type="dxa"/>
          </w:tblCellMar>
        </w:tblPrEx>
        <w:trPr>
          <w:trHeight w:val="780" w:hRule="atLeast"/>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61A6D">
            <w:pPr>
              <w:widowControl/>
              <w:spacing w:line="580" w:lineRule="exact"/>
              <w:jc w:val="center"/>
              <w:textAlignment w:val="center"/>
              <w:rPr>
                <w:rFonts w:hint="eastAsia" w:ascii="仿宋" w:hAnsi="仿宋" w:eastAsia="仿宋" w:cs="宋体"/>
                <w:b/>
                <w:color w:val="000000"/>
                <w:sz w:val="24"/>
              </w:rPr>
            </w:pPr>
            <w:r>
              <w:rPr>
                <w:rFonts w:hint="eastAsia" w:ascii="仿宋" w:hAnsi="仿宋" w:eastAsia="仿宋" w:cs="宋体"/>
                <w:b/>
                <w:color w:val="000000"/>
                <w:kern w:val="0"/>
                <w:sz w:val="24"/>
                <w:lang w:bidi="ar"/>
              </w:rPr>
              <w:t>3.学生互访与交流</w:t>
            </w:r>
          </w:p>
        </w:tc>
        <w:tc>
          <w:tcPr>
            <w:tcW w:w="930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612963E1">
            <w:pPr>
              <w:widowControl/>
              <w:spacing w:line="580" w:lineRule="exact"/>
              <w:jc w:val="left"/>
              <w:textAlignment w:val="center"/>
              <w:rPr>
                <w:rFonts w:ascii="仿宋" w:hAnsi="仿宋" w:eastAsia="仿宋" w:cs="华文仿宋"/>
                <w:color w:val="000000"/>
                <w:sz w:val="28"/>
                <w:szCs w:val="28"/>
              </w:rPr>
            </w:pPr>
            <w:r>
              <w:rPr>
                <w:rFonts w:ascii="仿宋" w:hAnsi="仿宋" w:eastAsia="仿宋" w:cs="华文仿宋"/>
                <w:color w:val="000000"/>
                <w:kern w:val="0"/>
                <w:sz w:val="28"/>
                <w:szCs w:val="28"/>
                <w:lang w:bidi="ar"/>
              </w:rPr>
              <w:t>11</w:t>
            </w:r>
            <w:r>
              <w:rPr>
                <w:rFonts w:hint="eastAsia" w:ascii="仿宋" w:hAnsi="仿宋" w:eastAsia="仿宋" w:cs="华文仿宋"/>
                <w:color w:val="000000"/>
                <w:kern w:val="0"/>
                <w:sz w:val="28"/>
                <w:szCs w:val="28"/>
                <w:lang w:bidi="ar"/>
              </w:rPr>
              <w:t>.本科高校相关专业学生与联合培养学生形成定期互访交流机制，党团活动每学期至少交流2次；</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7EB3C5A">
            <w:pPr>
              <w:spacing w:line="580" w:lineRule="exact"/>
              <w:jc w:val="center"/>
              <w:rPr>
                <w:rFonts w:hint="eastAsia" w:ascii="仿宋" w:hAnsi="仿宋" w:eastAsia="仿宋" w:cs="宋体"/>
                <w:color w:val="000000"/>
                <w:sz w:val="24"/>
              </w:rPr>
            </w:pPr>
          </w:p>
        </w:tc>
      </w:tr>
      <w:tr w14:paraId="43FE51F9">
        <w:tblPrEx>
          <w:tblCellMar>
            <w:top w:w="15" w:type="dxa"/>
            <w:left w:w="15" w:type="dxa"/>
            <w:bottom w:w="15" w:type="dxa"/>
            <w:right w:w="15" w:type="dxa"/>
          </w:tblCellMar>
        </w:tblPrEx>
        <w:trPr>
          <w:trHeight w:val="700" w:hRule="atLeast"/>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386CD">
            <w:pPr>
              <w:spacing w:line="580" w:lineRule="exact"/>
              <w:jc w:val="center"/>
              <w:rPr>
                <w:rFonts w:hint="eastAsia" w:ascii="仿宋" w:hAnsi="仿宋" w:eastAsia="仿宋" w:cs="宋体"/>
                <w:b/>
                <w:color w:val="000000"/>
                <w:sz w:val="24"/>
              </w:rPr>
            </w:pPr>
          </w:p>
        </w:tc>
        <w:tc>
          <w:tcPr>
            <w:tcW w:w="9305"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14:paraId="7FA1D4AB">
            <w:pPr>
              <w:widowControl/>
              <w:spacing w:line="580" w:lineRule="exact"/>
              <w:jc w:val="left"/>
              <w:textAlignment w:val="center"/>
              <w:rPr>
                <w:rFonts w:hint="eastAsia" w:ascii="Calibri" w:hAnsi="Calibri" w:eastAsia="方正仿宋_GBK" w:cs="Times New Roman"/>
                <w:kern w:val="2"/>
                <w:sz w:val="32"/>
                <w:szCs w:val="24"/>
                <w:lang w:val="en-US" w:eastAsia="zh-CN" w:bidi="ar-SA"/>
              </w:rPr>
            </w:pPr>
            <w:r>
              <w:rPr>
                <w:rFonts w:hint="eastAsia" w:ascii="仿宋" w:hAnsi="仿宋" w:eastAsia="仿宋" w:cs="华文仿宋"/>
                <w:color w:val="000000"/>
                <w:kern w:val="0"/>
                <w:sz w:val="28"/>
                <w:szCs w:val="28"/>
                <w:lang w:bidi="ar"/>
              </w:rPr>
              <w:t>1</w:t>
            </w:r>
            <w:r>
              <w:rPr>
                <w:rFonts w:ascii="仿宋" w:hAnsi="仿宋" w:eastAsia="仿宋" w:cs="华文仿宋"/>
                <w:color w:val="000000"/>
                <w:kern w:val="0"/>
                <w:sz w:val="28"/>
                <w:szCs w:val="28"/>
                <w:lang w:bidi="ar"/>
              </w:rPr>
              <w:t>2</w:t>
            </w:r>
            <w:r>
              <w:rPr>
                <w:rFonts w:hint="eastAsia" w:ascii="仿宋" w:hAnsi="仿宋" w:eastAsia="仿宋" w:cs="华文仿宋"/>
                <w:color w:val="000000"/>
                <w:kern w:val="0"/>
                <w:sz w:val="28"/>
                <w:szCs w:val="28"/>
                <w:lang w:bidi="ar"/>
              </w:rPr>
              <w:t>.本科高校相关专业学生与联合培养学生在学习、生活、社团、各级各类校级竞赛活动等方面每学期至少交流2次。</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134957C">
            <w:pPr>
              <w:spacing w:line="580" w:lineRule="exact"/>
              <w:jc w:val="center"/>
              <w:rPr>
                <w:rFonts w:hint="eastAsia" w:ascii="仿宋" w:hAnsi="仿宋" w:eastAsia="仿宋" w:cs="宋体"/>
                <w:color w:val="000000"/>
                <w:sz w:val="24"/>
              </w:rPr>
            </w:pPr>
          </w:p>
        </w:tc>
      </w:tr>
    </w:tbl>
    <w:p w14:paraId="5C6EF2F1"/>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66A4E5-2C82-434F-BED1-634DC21134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4F9555-2F67-4172-BB62-E5A5D9A575EB}"/>
  </w:font>
  <w:font w:name="方正楷体_GB2312">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embedRegular r:id="rId3" w:fontKey="{8C2D59F7-D493-4349-88D4-8431468A917E}"/>
  </w:font>
  <w:font w:name="方正小标宋简体">
    <w:altName w:val="黑体"/>
    <w:panose1 w:val="02000000000000000000"/>
    <w:charset w:val="86"/>
    <w:family w:val="auto"/>
    <w:pitch w:val="default"/>
    <w:sig w:usb0="00000001" w:usb1="08000000" w:usb2="00000000" w:usb3="00000000" w:csb0="00040000" w:csb1="00000000"/>
    <w:embedRegular r:id="rId4" w:fontKey="{CD7FACB0-7D9C-4F71-902C-D157322F5457}"/>
  </w:font>
  <w:font w:name="仿宋">
    <w:panose1 w:val="02010609060101010101"/>
    <w:charset w:val="86"/>
    <w:family w:val="modern"/>
    <w:pitch w:val="default"/>
    <w:sig w:usb0="800002BF" w:usb1="38CF7CFA" w:usb2="00000016" w:usb3="00000000" w:csb0="00040001" w:csb1="00000000"/>
    <w:embedRegular r:id="rId5" w:fontKey="{B5B80BBC-85AD-4AB1-A1D0-576FBBD874A7}"/>
  </w:font>
  <w:font w:name="方正黑体_GBK">
    <w:altName w:val="微软雅黑"/>
    <w:panose1 w:val="02000000000000000000"/>
    <w:charset w:val="86"/>
    <w:family w:val="script"/>
    <w:pitch w:val="default"/>
    <w:sig w:usb0="00000001" w:usb1="08000000" w:usb2="00000000" w:usb3="00000000" w:csb0="00040000" w:csb1="00000000"/>
    <w:embedRegular r:id="rId6" w:fontKey="{5E49EA8B-4CA3-48CD-B21B-8645BBC7720D}"/>
  </w:font>
  <w:font w:name="华文仿宋">
    <w:altName w:val="仿宋"/>
    <w:panose1 w:val="02010600040101010101"/>
    <w:charset w:val="86"/>
    <w:family w:val="auto"/>
    <w:pitch w:val="default"/>
    <w:sig w:usb0="00000287" w:usb1="080F0000" w:usb2="00000000" w:usb3="00000000" w:csb0="0004009F" w:csb1="DFD70000"/>
    <w:embedRegular r:id="rId7" w:fontKey="{EB9A8B58-07EE-473F-B579-41DA7F9966F8}"/>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5B2D66"/>
    <w:rsid w:val="3123571F"/>
    <w:rsid w:val="44AE7F28"/>
    <w:rsid w:val="700816FD"/>
    <w:rsid w:val="DE5B2D66"/>
    <w:rsid w:val="FFF7A9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557</Words>
  <Characters>577</Characters>
  <Lines>0</Lines>
  <Paragraphs>0</Paragraphs>
  <TotalTime>0</TotalTime>
  <ScaleCrop>false</ScaleCrop>
  <LinksUpToDate>false</LinksUpToDate>
  <CharactersWithSpaces>583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2022-11-10T10:24:00Z</dcterms:created>
  <dc:creator>jyt-135</dc:creator>
  <cp:lastModifiedBy>一世繁华</cp:lastModifiedBy>
  <dcterms:modified xsi:type="dcterms:W3CDTF">2025-01-06T07:21:28Z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BDF47366A9E84BB4A718D8C6DE092C8A_13</vt:lpwstr>
  </property>
  <property fmtid="{D5CDD505-2E9C-101B-9397-08002B2CF9AE}" pid="4" name="KSOTemplateDocerSaveRecord">
    <vt:lpwstr>eyJoZGlkIjoiZWNhMGQyMDUzMTRiNDYwMWRmM2E3N2Y5MDM0MWY4ZWUiLCJ1c2VySWQiOiIyNDc5OTgzMjMifQ==</vt:lpwstr>
  </property>
</Properties>
</file>